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2400"/>
        <w:gridCol w:w="2400"/>
        <w:gridCol w:w="240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200"/>
            </w:tcMar>
            <w:vAlign w:val="center"/>
          </w:tcPr>
          <w:p>
            <w:pPr>
              <w:spacing w:after="40" w:before="0"/>
              <w:jc w:val="left"/>
            </w:pPr>
            <w:r>
              <w:rPr>
                <w:rFonts w:ascii="Arial" w:cs="Arial" w:eastAsia="Arial" w:hAnsi="Arial"/>
                <w:b/>
                <w:bCs/>
                <w:color w:val="FFFFFF"/>
                <w:sz w:val="28"/>
                <w:szCs w:val="28"/>
              </w:rPr>
              <w:t xml:space="preserve">Global Battery Patent Landscape Analysis</w:t>
            </w:r>
          </w:p>
          <w:p>
            <w:pPr>
              <w:spacing w:after="0" w:before="0"/>
              <w:jc w:val="left"/>
            </w:pPr>
            <w:r>
              <w:rPr>
                <w:rFonts w:ascii="Arial" w:cs="Arial" w:eastAsia="Arial" w:hAnsi="Arial"/>
                <w:b w:val="false"/>
                <w:bCs w:val="false"/>
                <w:color w:val="FFFFFF"/>
                <w:sz w:val="18"/>
                <w:szCs w:val="18"/>
              </w:rPr>
              <w:t xml:space="preserve">Track 2: Patent &amp; Firm-Level Analysis  |  2014 to 2024</w:t>
            </w:r>
            <w:r>
              <w:rPr>
                <w:rFonts w:ascii="Arial" w:cs="Arial" w:eastAsia="Arial" w:hAnsi="Arial"/>
                <w:color w:val="B0C4DE"/>
                <w:sz w:val="16"/>
                <w:szCs w:val="16"/>
              </w:rPr>
              <w:t xml:space="preserve">  ·  Rishabh Dehariya  ·  IIT Kharagpur  ·  May 2026</w:t>
            </w:r>
          </w:p>
        </w:tc>
        <w:tc>
          <w:tcPr>
            <w:tcBorders>
              <w:top w:val="none" w:color="FFFFFF" w:sz="0"/>
              <w:left w:val="none" w:color="FFFFFF" w:sz="0"/>
              <w:bottom w:val="none" w:color="FFFFFF" w:sz="0"/>
              <w:right w:val="none" w:color="FFFFFF" w:sz="0"/>
            </w:tcBorders>
            <w:shd w:fill="2E5FA3" w:val="clear"/>
            <w:tcMar>
              <w:top w:type="dxa" w:w="200"/>
              <w:left w:type="dxa" w:w="200"/>
              <w:bottom w:type="dxa" w:w="200"/>
              <w:right w:type="dxa" w:w="200"/>
            </w:tcMar>
            <w:vAlign w:val="center"/>
          </w:tcPr>
          <w:p>
            <w:pPr>
              <w:spacing w:after="20" w:before="0"/>
              <w:jc w:val="center"/>
            </w:pPr>
            <w:r>
              <w:rPr>
                <w:rFonts w:ascii="Arial" w:cs="Arial" w:eastAsia="Arial" w:hAnsi="Arial"/>
                <w:b/>
                <w:bCs/>
                <w:color w:val="FFFFFF"/>
                <w:sz w:val="42"/>
                <w:szCs w:val="42"/>
              </w:rPr>
              <w:t xml:space="preserve">651</w:t>
            </w:r>
          </w:p>
          <w:p>
            <w:pPr>
              <w:spacing w:after="0" w:before="0"/>
              <w:jc w:val="center"/>
            </w:pPr>
            <w:r>
              <w:rPr>
                <w:rFonts w:ascii="Arial" w:cs="Arial" w:eastAsia="Arial" w:hAnsi="Arial"/>
                <w:b w:val="false"/>
                <w:bCs w:val="false"/>
                <w:color w:val="FFFFFF"/>
                <w:sz w:val="16"/>
                <w:szCs w:val="16"/>
              </w:rPr>
              <w:t xml:space="preserve">Total Patents</w:t>
            </w:r>
          </w:p>
        </w:tc>
        <w:tc>
          <w:tcPr>
            <w:tcBorders>
              <w:top w:val="none" w:color="FFFFFF" w:sz="0"/>
              <w:left w:val="single" w:color="FFFFFF" w:sz="4"/>
              <w:bottom w:val="none" w:color="FFFFFF" w:sz="0"/>
              <w:right w:val="single" w:color="FFFFFF" w:sz="4"/>
            </w:tcBorders>
            <w:shd w:fill="2E5FA3" w:val="clear"/>
            <w:tcMar>
              <w:top w:type="dxa" w:w="200"/>
              <w:left w:type="dxa" w:w="200"/>
              <w:bottom w:type="dxa" w:w="200"/>
              <w:right w:type="dxa" w:w="200"/>
            </w:tcMar>
            <w:vAlign w:val="center"/>
          </w:tcPr>
          <w:p>
            <w:pPr>
              <w:spacing w:after="20" w:before="0"/>
              <w:jc w:val="center"/>
            </w:pPr>
            <w:r>
              <w:rPr>
                <w:rFonts w:ascii="Arial" w:cs="Arial" w:eastAsia="Arial" w:hAnsi="Arial"/>
                <w:b/>
                <w:bCs/>
                <w:color w:val="FFFFFF"/>
                <w:sz w:val="42"/>
                <w:szCs w:val="42"/>
              </w:rPr>
              <w:t xml:space="preserve">4</w:t>
            </w:r>
          </w:p>
          <w:p>
            <w:pPr>
              <w:spacing w:after="0" w:before="0"/>
              <w:jc w:val="center"/>
            </w:pPr>
            <w:r>
              <w:rPr>
                <w:rFonts w:ascii="Arial" w:cs="Arial" w:eastAsia="Arial" w:hAnsi="Arial"/>
                <w:b w:val="false"/>
                <w:bCs w:val="false"/>
                <w:color w:val="FFFFFF"/>
                <w:sz w:val="16"/>
                <w:szCs w:val="16"/>
              </w:rPr>
              <w:t xml:space="preserve">Jurisdictions</w:t>
            </w:r>
          </w:p>
        </w:tc>
        <w:tc>
          <w:tcPr>
            <w:tcBorders>
              <w:top w:val="none" w:color="FFFFFF" w:sz="0"/>
              <w:left w:val="none" w:color="FFFFFF" w:sz="0"/>
              <w:bottom w:val="none" w:color="FFFFFF" w:sz="0"/>
              <w:right w:val="none" w:color="FFFFFF" w:sz="0"/>
            </w:tcBorders>
            <w:shd w:fill="2E5FA3" w:val="clear"/>
            <w:tcMar>
              <w:top w:type="dxa" w:w="200"/>
              <w:left w:type="dxa" w:w="200"/>
              <w:bottom w:type="dxa" w:w="200"/>
              <w:right w:type="dxa" w:w="300"/>
            </w:tcMar>
            <w:vAlign w:val="center"/>
          </w:tcPr>
          <w:p>
            <w:pPr>
              <w:spacing w:after="20" w:before="0"/>
              <w:jc w:val="center"/>
            </w:pPr>
            <w:r>
              <w:rPr>
                <w:rFonts w:ascii="Arial" w:cs="Arial" w:eastAsia="Arial" w:hAnsi="Arial"/>
                <w:b/>
                <w:bCs/>
                <w:color w:val="FFFFFF"/>
                <w:sz w:val="38"/>
                <w:szCs w:val="38"/>
              </w:rPr>
              <w:t xml:space="preserve">20.7%</w:t>
            </w:r>
          </w:p>
          <w:p>
            <w:pPr>
              <w:spacing w:after="0" w:before="0"/>
              <w:jc w:val="center"/>
            </w:pPr>
            <w:r>
              <w:rPr>
                <w:rFonts w:ascii="Arial" w:cs="Arial" w:eastAsia="Arial" w:hAnsi="Arial"/>
                <w:b w:val="false"/>
                <w:bCs w:val="false"/>
                <w:color w:val="FFFFFF"/>
                <w:sz w:val="16"/>
                <w:szCs w:val="16"/>
              </w:rPr>
              <w:t xml:space="preserve">CAGR (10-yr)</w:t>
            </w:r>
          </w:p>
        </w:tc>
      </w:tr>
    </w:tbl>
    <w:p>
      <w:pPr>
        <w:spacing w:after="40"/>
      </w:pPr>
      <w:r>
        <w:rPr>
          <w:rFonts w:ascii="Arial" w:cs="Arial" w:eastAsia="Arial" w:hAnsi="Arial"/>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gridCol w:w="4800"/>
      </w:tblGrid>
      <w:tr>
        <w:tc>
          <w:tcPr>
            <w:tcBorders>
              <w:top w:val="single" w:color="A0B4D0" w:sz="4"/>
              <w:left w:val="single" w:color="A0B4D0" w:sz="4"/>
              <w:bottom w:val="single" w:color="A0B4D0" w:sz="4"/>
              <w:right w:val="single" w:color="A0B4D0" w:sz="4"/>
            </w:tcBorders>
            <w:shd w:fill="F0F4FA" w:val="clear"/>
            <w:tcMar>
              <w:top w:type="dxa" w:w="160"/>
              <w:left w:type="dxa" w:w="200"/>
              <w:bottom w:type="dxa" w:w="160"/>
              <w:right w:type="dxa" w:w="200"/>
            </w:tcMar>
          </w:tcPr>
          <w:p>
            <w:pPr>
              <w:spacing w:after="60" w:before="80"/>
            </w:pPr>
            <w:r>
              <w:rPr>
                <w:rFonts w:ascii="Arial" w:cs="Arial" w:eastAsia="Arial" w:hAnsi="Arial"/>
                <w:b/>
                <w:bCs/>
                <w:caps/>
                <w:color w:val="2E5FA3"/>
                <w:sz w:val="17"/>
                <w:szCs w:val="17"/>
              </w:rPr>
              <w:t xml:space="preserve">Data Source &amp; Scraping Method</w:t>
            </w:r>
          </w:p>
          <w:p>
            <w:pPr>
              <w:spacing w:after="60" w:before="0"/>
            </w:pPr>
            <w:r>
              <w:rPr>
                <w:rFonts w:ascii="Arial" w:cs="Arial" w:eastAsia="Arial" w:hAnsi="Arial"/>
                <w:b/>
                <w:bCs/>
                <w:color w:val="1F3864"/>
                <w:sz w:val="16"/>
                <w:szCs w:val="16"/>
              </w:rPr>
              <w:t xml:space="preserve">Source: </w:t>
            </w:r>
            <w:r>
              <w:rPr>
                <w:rFonts w:ascii="Arial" w:cs="Arial" w:eastAsia="Arial" w:hAnsi="Arial"/>
                <w:color w:val="222222"/>
                <w:sz w:val="16"/>
                <w:szCs w:val="16"/>
              </w:rPr>
              <w:t xml:space="preserve">Lens.org Patent REST API (academic trial, bearer token auth)</w:t>
            </w:r>
          </w:p>
          <w:p>
            <w:pPr>
              <w:spacing w:after="60" w:before="0"/>
            </w:pPr>
            <w:r>
              <w:rPr>
                <w:rFonts w:ascii="Arial" w:cs="Arial" w:eastAsia="Arial" w:hAnsi="Arial"/>
                <w:b/>
                <w:bCs/>
                <w:color w:val="1F3864"/>
                <w:sz w:val="16"/>
                <w:szCs w:val="16"/>
              </w:rPr>
              <w:t xml:space="preserve">Method: </w:t>
            </w:r>
            <w:r>
              <w:rPr>
                <w:rFonts w:ascii="Arial" w:cs="Arial" w:eastAsia="Arial" w:hAnsi="Arial"/>
                <w:color w:val="222222"/>
                <w:sz w:val="16"/>
                <w:szCs w:val="16"/>
              </w:rPr>
              <w:t xml:space="preserve">Year-by-year pagination using the Python requests library. One API call was made per year (2014 to 2024) across ten battery keyword groups, and deduplication was performed on Lens ID to prevent any patent from being counted more than once.</w:t>
            </w:r>
          </w:p>
          <w:p>
            <w:pPr>
              <w:spacing w:after="60" w:before="0"/>
            </w:pPr>
            <w:r>
              <w:rPr>
                <w:rFonts w:ascii="Arial" w:cs="Arial" w:eastAsia="Arial" w:hAnsi="Arial"/>
                <w:b/>
                <w:bCs/>
                <w:color w:val="1F3864"/>
                <w:sz w:val="16"/>
                <w:szCs w:val="16"/>
              </w:rPr>
              <w:t xml:space="preserve">Keywords: </w:t>
            </w:r>
            <w:r>
              <w:rPr>
                <w:rFonts w:ascii="Arial" w:cs="Arial" w:eastAsia="Arial" w:hAnsi="Arial"/>
                <w:color w:val="222222"/>
                <w:sz w:val="16"/>
                <w:szCs w:val="16"/>
              </w:rPr>
              <w:t xml:space="preserve">Lithium ion battery, solid state battery, cathode/anode electrode, fast charging, sodium ion battery, thermal management, battery recycling, covering all major sub-domains of the field.</w:t>
            </w:r>
          </w:p>
          <w:p>
            <w:pPr>
              <w:spacing w:after="60" w:before="0"/>
            </w:pPr>
            <w:r>
              <w:rPr>
                <w:rFonts w:ascii="Arial" w:cs="Arial" w:eastAsia="Arial" w:hAnsi="Arial"/>
                <w:b/>
                <w:bCs/>
                <w:color w:val="1F3864"/>
                <w:sz w:val="16"/>
                <w:szCs w:val="16"/>
              </w:rPr>
              <w:t xml:space="preserve">Scripts: </w:t>
            </w:r>
            <w:r>
              <w:rPr>
                <w:rFonts w:ascii="Arial" w:cs="Arial" w:eastAsia="Arial" w:hAnsi="Arial"/>
                <w:color w:val="222222"/>
                <w:sz w:val="16"/>
                <w:szCs w:val="16"/>
              </w:rPr>
              <w:t xml:space="preserve">01_scraper.py  &gt;  02_cleaner.py (NLTK NLP ETL)  &gt;  02_5_preprocessing.py  &gt;  03_analysis.py</w:t>
            </w:r>
          </w:p>
          <w:p>
            <w:pPr>
              <w:spacing w:after="60" w:before="0"/>
            </w:pPr>
            <w:r>
              <w:rPr>
                <w:rFonts w:ascii="Arial" w:cs="Arial" w:eastAsia="Arial" w:hAnsi="Arial"/>
                <w:b/>
                <w:bCs/>
                <w:color w:val="1F3864"/>
                <w:sz w:val="16"/>
                <w:szCs w:val="16"/>
              </w:rPr>
              <w:t xml:space="preserve">Fields scraped: </w:t>
            </w:r>
            <w:r>
              <w:rPr>
                <w:rFonts w:ascii="Arial" w:cs="Arial" w:eastAsia="Arial" w:hAnsi="Arial"/>
                <w:color w:val="222222"/>
                <w:sz w:val="16"/>
                <w:szCs w:val="16"/>
              </w:rPr>
              <w:t xml:space="preserve">Lens ID, Title, Abstract, Applicants, Inventors, IPC/CPC codes, Family Size, Legal Status, Publication Date, Jurisdiction, URL.</w:t>
            </w:r>
          </w:p>
          <w:p>
            <w:pPr>
              <w:spacing w:after="60"/>
            </w:pPr>
            <w:r>
              <w:rPr>
                <w:rFonts w:ascii="Arial" w:cs="Arial" w:eastAsia="Arial" w:hAnsi="Arial"/>
              </w:rPr>
              <w:t xml:space="preserve"/>
            </w:r>
          </w:p>
          <w:p>
            <w:pPr>
              <w:spacing w:after="60" w:before="80"/>
            </w:pPr>
            <w:r>
              <w:rPr>
                <w:rFonts w:ascii="Arial" w:cs="Arial" w:eastAsia="Arial" w:hAnsi="Arial"/>
                <w:b/>
                <w:bCs/>
                <w:caps/>
                <w:color w:val="2E5FA3"/>
                <w:sz w:val="17"/>
                <w:szCs w:val="17"/>
              </w:rPr>
              <w:t xml:space="preserve">Dataset Description</w:t>
            </w:r>
          </w:p>
          <w:p>
            <w:pPr>
              <w:spacing w:after="60" w:before="0"/>
            </w:pPr>
            <w:r>
              <w:rPr>
                <w:rFonts w:ascii="Arial" w:cs="Arial" w:eastAsia="Arial" w:hAnsi="Arial"/>
                <w:b/>
                <w:bCs/>
                <w:color w:val="1F3864"/>
                <w:sz w:val="16"/>
                <w:szCs w:val="16"/>
              </w:rPr>
              <w:t xml:space="preserve">Size: </w:t>
            </w:r>
            <w:r>
              <w:rPr>
                <w:rFonts w:ascii="Arial" w:cs="Arial" w:eastAsia="Arial" w:hAnsi="Arial"/>
                <w:color w:val="222222"/>
                <w:sz w:val="16"/>
                <w:szCs w:val="16"/>
              </w:rPr>
              <w:t xml:space="preserve">651 unique battery patents after deduplication and NLP filtering.</w:t>
            </w:r>
          </w:p>
          <w:p>
            <w:pPr>
              <w:spacing w:after="60" w:before="0"/>
            </w:pPr>
            <w:r>
              <w:rPr>
                <w:rFonts w:ascii="Arial" w:cs="Arial" w:eastAsia="Arial" w:hAnsi="Arial"/>
                <w:b/>
                <w:bCs/>
                <w:color w:val="1F3864"/>
                <w:sz w:val="16"/>
                <w:szCs w:val="16"/>
              </w:rPr>
              <w:t xml:space="preserve">Coverage: </w:t>
            </w:r>
            <w:r>
              <w:rPr>
                <w:rFonts w:ascii="Arial" w:cs="Arial" w:eastAsia="Arial" w:hAnsi="Arial"/>
                <w:color w:val="222222"/>
                <w:sz w:val="16"/>
                <w:szCs w:val="16"/>
              </w:rPr>
              <w:t xml:space="preserve">United States 299 (45.9%), China 283 (43.5%), EPO 53 (8.1%), Japan 16 (2.5%). The US and China together account for 89.4% of all filings, a figure that speaks to the bilateral character of the global battery IP race.</w:t>
            </w:r>
          </w:p>
          <w:p>
            <w:pPr>
              <w:spacing w:after="60" w:before="0"/>
            </w:pPr>
            <w:r>
              <w:rPr>
                <w:rFonts w:ascii="Arial" w:cs="Arial" w:eastAsia="Arial" w:hAnsi="Arial"/>
                <w:b/>
                <w:bCs/>
                <w:color w:val="1F3864"/>
                <w:sz w:val="16"/>
                <w:szCs w:val="16"/>
              </w:rPr>
              <w:t xml:space="preserve">Cleaning: </w:t>
            </w:r>
            <w:r>
              <w:rPr>
                <w:rFonts w:ascii="Arial" w:cs="Arial" w:eastAsia="Arial" w:hAnsi="Arial"/>
                <w:color w:val="222222"/>
                <w:sz w:val="16"/>
                <w:szCs w:val="16"/>
              </w:rPr>
              <w:t xml:space="preserve">02_cleaner.py applies NLTK tokenisation, lemmatisation, stopword removal, and frequency-based topic scoring to assign each patent a Technology Category and Application Area, going considerably further than naive regex matching.</w:t>
            </w:r>
          </w:p>
          <w:p>
            <w:pPr>
              <w:spacing w:after="60" w:before="0"/>
            </w:pPr>
            <w:r>
              <w:rPr>
                <w:rFonts w:ascii="Arial" w:cs="Arial" w:eastAsia="Arial" w:hAnsi="Arial"/>
                <w:b/>
                <w:bCs/>
                <w:color w:val="1F3864"/>
                <w:sz w:val="16"/>
                <w:szCs w:val="16"/>
              </w:rPr>
              <w:t xml:space="preserve">Tech categories: </w:t>
            </w:r>
            <w:r>
              <w:rPr>
                <w:rFonts w:ascii="Arial" w:cs="Arial" w:eastAsia="Arial" w:hAnsi="Arial"/>
                <w:color w:val="222222"/>
                <w:sz w:val="16"/>
                <w:szCs w:val="16"/>
              </w:rPr>
              <w:t xml:space="preserve">Battery Chemistry 37.2%, Charging Technology 18.6%, Thermal &amp; Safety 17.4%, Others 17.4%, Battery Pack &amp; Structure 4.8%, Manufacturing 2.5%, Battery Recycling 2.3%.</w:t>
            </w:r>
          </w:p>
          <w:p>
            <w:pPr>
              <w:spacing w:after="60" w:before="0"/>
            </w:pPr>
            <w:r>
              <w:rPr>
                <w:rFonts w:ascii="Arial" w:cs="Arial" w:eastAsia="Arial" w:hAnsi="Arial"/>
                <w:b/>
                <w:bCs/>
                <w:color w:val="1F3864"/>
                <w:sz w:val="16"/>
                <w:szCs w:val="16"/>
              </w:rPr>
              <w:t xml:space="preserve">Application areas: </w:t>
            </w:r>
            <w:r>
              <w:rPr>
                <w:rFonts w:ascii="Arial" w:cs="Arial" w:eastAsia="Arial" w:hAnsi="Arial"/>
                <w:color w:val="222222"/>
                <w:sz w:val="16"/>
                <w:szCs w:val="16"/>
              </w:rPr>
              <w:t xml:space="preserve">Electric Vehicles 285 (43.8%), General Applications 325 (49.9%), Energy Storage Systems 41 (6.3%).</w:t>
            </w:r>
          </w:p>
        </w:tc>
        <w:tc>
          <w:tcPr>
            <w:tcBorders>
              <w:top w:val="single" w:color="A0B4D0" w:sz="4"/>
              <w:left w:val="single" w:color="A0B4D0" w:sz="4"/>
              <w:bottom w:val="single" w:color="A0B4D0" w:sz="4"/>
              <w:right w:val="single" w:color="A0B4D0" w:sz="4"/>
            </w:tcBorders>
            <w:shd w:fill="FFFFFF" w:val="clear"/>
            <w:tcMar>
              <w:top w:type="dxa" w:w="160"/>
              <w:left w:type="dxa" w:w="200"/>
              <w:bottom w:type="dxa" w:w="160"/>
              <w:right w:type="dxa" w:w="200"/>
            </w:tcMar>
          </w:tcPr>
          <w:p>
            <w:pPr>
              <w:spacing w:after="60" w:before="80"/>
            </w:pPr>
            <w:r>
              <w:rPr>
                <w:rFonts w:ascii="Arial" w:cs="Arial" w:eastAsia="Arial" w:hAnsi="Arial"/>
                <w:b/>
                <w:bCs/>
                <w:caps/>
                <w:color w:val="2E5FA3"/>
                <w:sz w:val="17"/>
                <w:szCs w:val="17"/>
              </w:rPr>
              <w:t xml:space="preserve">Main Findings</w:t>
            </w:r>
          </w:p>
          <w:p>
            <w:pPr>
              <w:spacing w:after="80" w:before="0"/>
            </w:pPr>
            <w:r>
              <w:rPr>
                <w:rFonts w:ascii="Arial" w:cs="Arial" w:eastAsia="Arial" w:hAnsi="Arial"/>
                <w:b/>
                <w:bCs/>
                <w:color w:val="1F3864"/>
                <w:sz w:val="16"/>
                <w:szCs w:val="16"/>
              </w:rPr>
              <w:t xml:space="preserve">1.  Sustained 20.7% CAGR: Innovation is Structurally Accelerating</w:t>
            </w:r>
          </w:p>
          <w:p>
            <w:pPr>
              <w:spacing w:after="100" w:before="0"/>
            </w:pPr>
            <w:r>
              <w:rPr>
                <w:rFonts w:ascii="Arial" w:cs="Arial" w:eastAsia="Arial" w:hAnsi="Arial"/>
                <w:color w:val="222222"/>
                <w:sz w:val="16"/>
                <w:szCs w:val="16"/>
              </w:rPr>
              <w:t xml:space="preserve">Patent filings climbed from 21 in 2014 to 138 in 2024, a 6.6x increase over the decade. Growth was largely flat between 2014 and 2017 (21 to 29 patents per year) before accelerating sharply after 2018 as global EV mandates gained traction. The 2020 to 2024 window alone accounts for 69.3% of all filings (451 out of 651), with a particularly steep 34% jump from 2022 to 2023 that coincides with post-COP26 net-zero commitments and national battery supply-chain investment programmes.</w:t>
            </w:r>
          </w:p>
          <w:p>
            <w:pPr>
              <w:spacing w:after="80" w:before="0"/>
            </w:pPr>
            <w:r>
              <w:rPr>
                <w:rFonts w:ascii="Arial" w:cs="Arial" w:eastAsia="Arial" w:hAnsi="Arial"/>
                <w:b/>
                <w:bCs/>
                <w:color w:val="1F3864"/>
                <w:sz w:val="16"/>
                <w:szCs w:val="16"/>
              </w:rPr>
              <w:t xml:space="preserve">2.  Asymmetric IP Concentration: US and China Dominate</w:t>
            </w:r>
          </w:p>
          <w:p>
            <w:pPr>
              <w:spacing w:after="100" w:before="0"/>
            </w:pPr>
            <w:r>
              <w:rPr>
                <w:rFonts w:ascii="Arial" w:cs="Arial" w:eastAsia="Arial" w:hAnsi="Arial"/>
                <w:color w:val="222222"/>
                <w:sz w:val="16"/>
                <w:szCs w:val="16"/>
              </w:rPr>
              <w:t xml:space="preserve">The United States (45.9%) and China (43.5%) together hold 89.4% of all patents, leaving Europe at 8.1% and Japan at just 2.5%. The top three assignees, GM Global Tech Operations (32 patents), CATL (22), and StoreDot (19), collectively represent 11.2% of the dataset. The presence of Israeli VC-backed startup StoreDot in that top tier is notable: it signals that deep-tech specialisation around extreme fast-charging can serve as a viable IP strategy even against established industrial giants.</w:t>
            </w:r>
          </w:p>
          <w:p>
            <w:pPr>
              <w:spacing w:after="80" w:before="0"/>
            </w:pPr>
            <w:r>
              <w:rPr>
                <w:rFonts w:ascii="Arial" w:cs="Arial" w:eastAsia="Arial" w:hAnsi="Arial"/>
                <w:b/>
                <w:bCs/>
                <w:color w:val="1F3864"/>
                <w:sz w:val="16"/>
                <w:szCs w:val="16"/>
              </w:rPr>
              <w:t xml:space="preserve">3.  Divergent R&amp;D Portfolios: Depth vs. Breadth Strategy</w:t>
            </w:r>
          </w:p>
          <w:p>
            <w:pPr>
              <w:spacing w:after="100" w:before="0"/>
            </w:pPr>
            <w:r>
              <w:rPr>
                <w:rFonts w:ascii="Arial" w:cs="Arial" w:eastAsia="Arial" w:hAnsi="Arial"/>
                <w:color w:val="222222"/>
                <w:sz w:val="16"/>
                <w:szCs w:val="16"/>
              </w:rPr>
              <w:t xml:space="preserve">The firm-by-technology heatmap (Fig. 3) reveals two distinct competitive archetypes. GM concentrates 28 of its 32 patents in Battery Chemistry, a depth-first approach intended to build an IP moat around core electrochemistry. CATL, consistent with its role as a vertically integrated cell supplier, distributes its portfolio across all five categories, with Thermal &amp; Safety as the second-largest bucket at nine patents. StoreDot splits fairly evenly between Battery Chemistry (11 patents) and Charging Technology (8), effectively hedging electrochemical uncertainty with fast-charging system IP.</w:t>
            </w:r>
          </w:p>
          <w:p>
            <w:pPr>
              <w:spacing w:after="80" w:before="0"/>
            </w:pPr>
            <w:r>
              <w:rPr>
                <w:rFonts w:ascii="Arial" w:cs="Arial" w:eastAsia="Arial" w:hAnsi="Arial"/>
                <w:b/>
                <w:bCs/>
                <w:color w:val="1F3864"/>
                <w:sz w:val="16"/>
                <w:szCs w:val="16"/>
              </w:rPr>
              <w:t xml:space="preserve">4.  Technology Shift: Thermal &amp; Safety Rising Post-2021</w:t>
            </w:r>
          </w:p>
          <w:p>
            <w:pPr>
              <w:spacing w:after="60" w:before="0"/>
            </w:pPr>
            <w:r>
              <w:rPr>
                <w:rFonts w:ascii="Arial" w:cs="Arial" w:eastAsia="Arial" w:hAnsi="Arial"/>
                <w:color w:val="222222"/>
                <w:sz w:val="16"/>
                <w:szCs w:val="16"/>
              </w:rPr>
              <w:t xml:space="preserve">Battery Chemistry held a 31.9% share in 2014 to 2018 and grew to 35.4% in the later period, but Thermal &amp; Safety recorded the sharpest relative gain of any category, moving from 14.6% in the early period to 20.1% in 2021 to 2024. Thermal runaway incidents and tightening UN 38.3/IEC 62133 safety regulations are the primary drivers. Charging Technology, which held 22.9% share in the earlier window, declined to 17.6% in the later one, suggesting the fast-charging IP wave has largely peaked. Battery Recycling remains chronically underrepresented at roughly 2.3% despite growing policy pressure in that space.</w:t>
            </w:r>
          </w:p>
        </w:tc>
        <w:tc>
          <w:tcPr>
            <w:tcBorders>
              <w:top w:val="single" w:color="A0B4D0" w:sz="4"/>
              <w:left w:val="single" w:color="A0B4D0" w:sz="4"/>
              <w:bottom w:val="single" w:color="A0B4D0" w:sz="4"/>
              <w:right w:val="single" w:color="A0B4D0" w:sz="4"/>
            </w:tcBorders>
            <w:shd w:fill="D6E4F7" w:val="clear"/>
            <w:tcMar>
              <w:top w:type="dxa" w:w="160"/>
              <w:left w:type="dxa" w:w="200"/>
              <w:bottom w:type="dxa" w:w="160"/>
              <w:right w:type="dxa" w:w="200"/>
            </w:tcMar>
          </w:tcPr>
          <w:p>
            <w:pPr>
              <w:spacing w:after="60" w:before="80"/>
            </w:pPr>
            <w:r>
              <w:rPr>
                <w:rFonts w:ascii="Arial" w:cs="Arial" w:eastAsia="Arial" w:hAnsi="Arial"/>
                <w:b/>
                <w:bCs/>
                <w:caps/>
                <w:color w:val="2E5FA3"/>
                <w:sz w:val="17"/>
                <w:szCs w:val="17"/>
              </w:rPr>
              <w:t xml:space="preserve">Key Analytical Approach</w:t>
            </w:r>
          </w:p>
          <w:p>
            <w:pPr>
              <w:spacing w:after="60" w:before="0"/>
            </w:pPr>
            <w:r>
              <w:rPr>
                <w:rFonts w:ascii="Arial" w:cs="Arial" w:eastAsia="Arial" w:hAnsi="Arial"/>
                <w:b/>
                <w:bCs/>
                <w:color w:val="1F3864"/>
                <w:sz w:val="16"/>
                <w:szCs w:val="16"/>
              </w:rPr>
              <w:t xml:space="preserve">Trend analysis: </w:t>
            </w:r>
            <w:r>
              <w:rPr>
                <w:rFonts w:ascii="Arial" w:cs="Arial" w:eastAsia="Arial" w:hAnsi="Arial"/>
                <w:color w:val="222222"/>
                <w:sz w:val="16"/>
                <w:szCs w:val="16"/>
              </w:rPr>
              <w:t xml:space="preserve">Year-on-year patent counts by country, CAGR computation across 2014 to 2024, and identification of structural breaks at 2019 (EV mandate wave) and 2021 (COP26 inflection). See Fig. 1.</w:t>
            </w:r>
          </w:p>
          <w:p>
            <w:pPr>
              <w:spacing w:after="60" w:before="0"/>
            </w:pPr>
            <w:r>
              <w:rPr>
                <w:rFonts w:ascii="Arial" w:cs="Arial" w:eastAsia="Arial" w:hAnsi="Arial"/>
                <w:b/>
                <w:bCs/>
                <w:color w:val="1F3864"/>
                <w:sz w:val="16"/>
                <w:szCs w:val="16"/>
              </w:rPr>
              <w:t xml:space="preserve">Firm analysis: </w:t>
            </w:r>
            <w:r>
              <w:rPr>
                <w:rFonts w:ascii="Arial" w:cs="Arial" w:eastAsia="Arial" w:hAnsi="Arial"/>
                <w:color w:val="222222"/>
                <w:sz w:val="16"/>
                <w:szCs w:val="16"/>
              </w:rPr>
              <w:t xml:space="preserve">Top-10 assignees by patent count. Corporate vs. university entity classification via NLTK NLP. Concentration ratio computed for the top-three assignees. See Fig. 2.</w:t>
            </w:r>
          </w:p>
          <w:p>
            <w:pPr>
              <w:spacing w:after="60" w:before="0"/>
            </w:pPr>
            <w:r>
              <w:rPr>
                <w:rFonts w:ascii="Arial" w:cs="Arial" w:eastAsia="Arial" w:hAnsi="Arial"/>
                <w:b/>
                <w:bCs/>
                <w:color w:val="1F3864"/>
                <w:sz w:val="16"/>
                <w:szCs w:val="16"/>
              </w:rPr>
              <w:t xml:space="preserve">Comparative/cluster: </w:t>
            </w:r>
            <w:r>
              <w:rPr>
                <w:rFonts w:ascii="Arial" w:cs="Arial" w:eastAsia="Arial" w:hAnsi="Arial"/>
                <w:color w:val="222222"/>
                <w:sz w:val="16"/>
                <w:szCs w:val="16"/>
              </w:rPr>
              <w:t xml:space="preserve">Firm-by-technology-category cross-tabulation heatmap illustrating R&amp;D portfolio strategy. Frequency-based NLP scoring via NLTK lemmatisation across a nine-category domain ontology. See Fig. 3.</w:t>
            </w:r>
          </w:p>
          <w:p>
            <w:pPr>
              <w:spacing w:after="60" w:before="0"/>
            </w:pPr>
            <w:r>
              <w:rPr>
                <w:rFonts w:ascii="Arial" w:cs="Arial" w:eastAsia="Arial" w:hAnsi="Arial"/>
                <w:b/>
                <w:bCs/>
                <w:color w:val="1F3864"/>
                <w:sz w:val="16"/>
                <w:szCs w:val="16"/>
              </w:rPr>
              <w:t xml:space="preserve">Technology shifts: </w:t>
            </w:r>
            <w:r>
              <w:rPr>
                <w:rFonts w:ascii="Arial" w:cs="Arial" w:eastAsia="Arial" w:hAnsi="Arial"/>
                <w:color w:val="222222"/>
                <w:sz w:val="16"/>
                <w:szCs w:val="16"/>
              </w:rPr>
              <w:t xml:space="preserve">100% stacked area chart of relative technology-category share per year (2014 to 2024), with early-period (2014 to 2018) vs. late-period (2021 to 2024) share comparison. See Fig. 4.</w:t>
            </w:r>
          </w:p>
          <w:p>
            <w:pPr>
              <w:spacing w:after="60" w:before="0"/>
            </w:pPr>
            <w:r>
              <w:rPr>
                <w:rFonts w:ascii="Arial" w:cs="Arial" w:eastAsia="Arial" w:hAnsi="Arial"/>
                <w:b/>
                <w:bCs/>
                <w:color w:val="1F3864"/>
                <w:sz w:val="16"/>
                <w:szCs w:val="16"/>
              </w:rPr>
              <w:t xml:space="preserve">NLP pipeline: </w:t>
            </w:r>
            <w:r>
              <w:rPr>
                <w:rFonts w:ascii="Arial" w:cs="Arial" w:eastAsia="Arial" w:hAnsi="Arial"/>
                <w:color w:val="222222"/>
                <w:sz w:val="16"/>
                <w:szCs w:val="16"/>
              </w:rPr>
              <w:t xml:space="preserve">02_cleaner.py implements punkt tokenisation, WordNet lemmatisation, stopword removal, and frequency scoring across TECH_ONTOLOGY and APP_ONTOLOGY dictionaries, replacing naive regex with domain-aware scoring.</w:t>
            </w:r>
          </w:p>
          <w:p>
            <w:pPr>
              <w:spacing w:after="80"/>
            </w:pPr>
            <w:r>
              <w:rPr>
                <w:rFonts w:ascii="Arial" w:cs="Arial" w:eastAsia="Arial" w:hAnsi="Arial"/>
              </w:rPr>
              <w:t xml:space="preserve"/>
            </w:r>
          </w:p>
          <w:p>
            <w:pPr>
              <w:spacing w:after="60" w:before="80"/>
            </w:pPr>
            <w:r>
              <w:rPr>
                <w:rFonts w:ascii="Arial" w:cs="Arial" w:eastAsia="Arial" w:hAnsi="Arial"/>
                <w:b/>
                <w:bCs/>
                <w:caps/>
                <w:color w:val="2E5FA3"/>
                <w:sz w:val="17"/>
                <w:szCs w:val="17"/>
              </w:rPr>
              <w:t xml:space="preserve">Proposed Research Question</w:t>
            </w:r>
          </w:p>
          <w:p>
            <w:pPr>
              <w:spacing w:after="60" w:before="0"/>
            </w:pPr>
            <w:r>
              <w:rPr>
                <w:rFonts w:ascii="Arial" w:cs="Arial" w:eastAsia="Arial" w:hAnsi="Arial"/>
                <w:i/>
                <w:iCs/>
                <w:color w:val="1F3864"/>
                <w:sz w:val="16"/>
                <w:szCs w:val="16"/>
              </w:rPr>
              <w:t xml:space="preserve">"Does cross-border patent collaboration between corporate assignees and university research institutions in solid-state and next-generation battery technology reduce time-to-commercialisation, and which policy instruments</w:t>
            </w:r>
            <w:r>
              <w:rPr>
                <w:rFonts w:ascii="Arial" w:cs="Arial" w:eastAsia="Arial" w:hAnsi="Arial"/>
                <w:i/>
                <w:iCs/>
                <w:color w:val="2E5FA3"/>
                <w:sz w:val="16"/>
                <w:szCs w:val="16"/>
              </w:rPr>
              <w:t xml:space="preserve"> (R&amp;D tax credits, public-private mandates, or bilateral IP-sharing agreements)</w:t>
            </w:r>
            <w:r>
              <w:rPr>
                <w:rFonts w:ascii="Arial" w:cs="Arial" w:eastAsia="Arial" w:hAnsi="Arial"/>
                <w:i/>
                <w:iCs/>
                <w:color w:val="1F3864"/>
                <w:sz w:val="16"/>
                <w:szCs w:val="16"/>
              </w:rPr>
              <w:t xml:space="preserve"> most effectively accelerate this transition?"</w:t>
            </w:r>
          </w:p>
          <w:p>
            <w:pPr>
              <w:spacing w:after="60" w:before="0"/>
            </w:pPr>
            <w:r>
              <w:rPr>
                <w:rFonts w:ascii="Arial" w:cs="Arial" w:eastAsia="Arial" w:hAnsi="Arial"/>
                <w:b/>
                <w:bCs/>
                <w:color w:val="1F3864"/>
                <w:sz w:val="16"/>
                <w:szCs w:val="16"/>
              </w:rPr>
              <w:t xml:space="preserve">Relevance: </w:t>
            </w:r>
            <w:r>
              <w:rPr>
                <w:rFonts w:ascii="Arial" w:cs="Arial" w:eastAsia="Arial" w:hAnsi="Arial"/>
                <w:color w:val="222222"/>
                <w:sz w:val="16"/>
                <w:szCs w:val="16"/>
              </w:rPr>
              <w:t xml:space="preserve">Much of the existing patent literature focuses on counting filings without connecting institutional collaboration structures to deployment speed or technology diffusion rates. Battery Recycling patents sit at just 2.3% of filings despite strong circular-economy policy mandates, which points to a commercialisation bottleneck this question directly addresses. With solid-state batteries now approaching commercial readiness at Toyota, QuantumScape, and Solid Power, understanding which institutional arrangements best accelerate the lab-to-market transition has direct implications for energy-transition policy and long-duration investment strategy.</w:t>
            </w:r>
          </w:p>
        </w:tc>
      </w:tr>
    </w:tbl>
    <w:p>
      <w:pPr>
        <w:spacing w:after="40"/>
      </w:pPr>
      <w:r>
        <w:rPr>
          <w:rFonts w:ascii="Arial" w:cs="Arial" w:eastAsia="Arial" w:hAnsi="Arial"/>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Borders>
              <w:top w:val="none" w:color="FFFFFF" w:sz="0"/>
              <w:left w:val="none" w:color="FFFFFF" w:sz="0"/>
              <w:bottom w:val="none" w:color="FFFFFF" w:sz="0"/>
              <w:right w:val="none" w:color="FFFFFF" w:sz="0"/>
            </w:tcBorders>
            <w:shd w:fill="1F3864" w:val="clear"/>
            <w:tcMar>
              <w:top w:type="dxa" w:w="100"/>
              <w:left w:type="dxa" w:w="300"/>
              <w:bottom w:type="dxa" w:w="100"/>
              <w:right w:type="dxa" w:w="300"/>
            </w:tcMar>
          </w:tcPr>
          <w:p>
            <w:pPr>
              <w:spacing w:after="0" w:before="0"/>
              <w:jc w:val="center"/>
            </w:pPr>
            <w:r>
              <w:rPr>
                <w:rFonts w:ascii="Arial" w:cs="Arial" w:eastAsia="Arial" w:hAnsi="Arial"/>
                <w:b w:val="false"/>
                <w:bCs w:val="false"/>
                <w:color w:val="FFFFFF"/>
                <w:sz w:val="14"/>
                <w:szCs w:val="14"/>
              </w:rPr>
              <w:t xml:space="preserve">Data Source: Lens.org Patent REST API  ·  Scripts: 01_scraper.py, 02_cleaner.py, 02_5_preprocessing.py, 03_analysis.py  ·  NLP: NLTK (punkt, WordNet, stopwords)  ·  Visualisations: Matplotlib &amp; Seaborn  ·  No manual data compilation</w:t>
            </w:r>
          </w:p>
        </w:tc>
      </w:tr>
    </w:tbl>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2026-05-12T10:40:14.766Z</dcterms:created>
  <dcterms:modified xsi:type="dcterms:W3CDTF">2026-05-12T10:40:14.766Z</dcterms:modified>
</cp:coreProperties>
</file>

<file path=docProps/custom.xml><?xml version="1.0" encoding="utf-8"?>
<Properties xmlns="http://schemas.openxmlformats.org/officeDocument/2006/custom-properties" xmlns:vt="http://schemas.openxmlformats.org/officeDocument/2006/docPropsVTypes"/>
</file>