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80"/>
        <w:gridCol w:w="2160"/>
        <w:gridCol w:w="2160"/>
        <w:gridCol w:w="216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10"/>
              <w:left w:type="dxa" w:w="180"/>
              <w:bottom w:type="dxa" w:w="11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Global Battery Patent Landscape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C1E9"/>
                <w:sz w:val="15"/>
                <w:szCs w:val="15"/>
              </w:rPr>
              <w:t xml:space="preserve">Track 2: Patent &amp; Firm-Level Analysis  |  2014 – 2024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B3D3"/>
                <w:sz w:val="13"/>
                <w:szCs w:val="13"/>
              </w:rPr>
              <w:t xml:space="preserve">Rishabh Dehariya  ·  IIT Kharagpur  ·  May 2026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651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8F0"/>
                <w:sz w:val="12"/>
                <w:szCs w:val="12"/>
              </w:rPr>
              <w:t xml:space="preserve">Total Patents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8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8F0"/>
                <w:sz w:val="12"/>
                <w:szCs w:val="12"/>
              </w:rPr>
              <w:t xml:space="preserve">Jurisdictions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20.7%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8F0"/>
                <w:sz w:val="12"/>
                <w:szCs w:val="12"/>
              </w:rPr>
              <w:t xml:space="preserve">CAGR (10-yr)</w:t>
            </w:r>
          </w:p>
        </w:tc>
      </w:tr>
    </w:tbl>
    <w:p>
      <w:pPr>
        <w:pBdr>
          <w:bottom w:val="single" w:color="0D2B55" w:sz="8" w:space="1"/>
        </w:pBdr>
        <w:spacing w:after="70" w:before="0"/>
      </w:pPr>
    </w:p>
    <w:tbl>
      <w:tblPr>
        <w:tblW w:type="dxa" w:w="109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40"/>
        <w:gridCol w:w="3680"/>
        <w:gridCol w:w="3480"/>
      </w:tblGrid>
      <w:tr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single" w:color="D5D8DC" w:sz="4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shd w:fill="0D2B55" w:val="clear"/>
              <w:spacing w:after="70" w:before="0"/>
              <w:ind w:left="80" w:right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DATA SOURCE &amp; SCRAPING METHOD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Source: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Lens.org Patent REST API (academic trial, bearer token auth)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Method: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Python requests library. Year-by-year pagination — one API call per year (2014–2024) × 10 battery keyword groups. Deduplication on Lens ID ensures no duplicate patent is counted.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Keywords: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lithium ion battery, solid state battery, cathode/anode electrode, fast charging, sodium ion battery, thermal management, battery recycling — covering all major sub-domains.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Scripts: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01_scraper.py  →  02_cleaner.py (NLTK NLP ETL)  →  02_5_preprocessing.py  →  03_analysis.py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Fields scraped: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Lens ID, Title, Abstract, Applicants, Inventors, IPC/CPC codes, Family Size, Legal Status, Publication Date, Jurisdiction, URL.</w:t>
            </w:r>
          </w:p>
          <w:p>
            <w:pPr>
              <w:pBdr>
                <w:bottom w:val="single" w:color="D5D8DC" w:sz="3" w:space="1"/>
              </w:pBdr>
              <w:spacing w:after="80" w:before="80"/>
            </w:pPr>
          </w:p>
          <w:p>
            <w:pPr>
              <w:shd w:fill="0D2B55" w:val="clear"/>
              <w:spacing w:after="70" w:before="0"/>
              <w:ind w:left="80" w:right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DATASET 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Size: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651 unique battery patents after deduplication and NLP filtering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Coverage: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United States 299 (45.9%)  ·  China 283 (43.5%)  ·  EPO 53 (8.1%)  ·  Japan 16 (2.5%). US+CN jointly represent 89.4% of filings, reflecting the bilateral nature of the global battery IP race.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Cleaning: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02_cleaner.py runs NLTK tokenisation, lemmatisation, stopword removal, and frequency-based topic scoring to assign Technology Category and Application Area — going beyond naive regex matching.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Tech categories: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Battery Chemistry (37.2%)  ·  Charging Technology (18.6%)  ·  Thermal &amp; Safety (17.4%)  ·  Others (17.4%)  ·  Battery Pack &amp; Structure (4.8%)  ·  Manufacturing (2.5%)  ·  Battery Recycling (2.3%)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Application areas: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Electric Vehicles 285 (43.8%)  ·  General Applications 325 (49.9%)  ·  Energy Storage Systems 41 (6.3%)</w:t>
            </w:r>
          </w:p>
        </w:tc>
        <w:tc>
          <w:tcPr>
            <w:tcW w:type="dxa" w:w="3680"/>
            <w:tcBorders>
              <w:top w:val="none" w:color="FFFFFF" w:sz="0"/>
              <w:left w:val="single" w:color="D5D8DC" w:sz="4"/>
              <w:bottom w:val="none" w:color="FFFFFF" w:sz="0"/>
              <w:right w:val="single" w:color="D5D8DC" w:sz="4"/>
            </w:tcBorders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hd w:fill="117A8B" w:val="clear"/>
              <w:spacing w:after="70" w:before="0"/>
              <w:ind w:left="80" w:right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MAIN FINDINGS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6"/>
                <w:szCs w:val="16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Sustained 20.7% CAGR — Innovation is Structurally Accelerating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Patent filings grew from 21 (2014) to 138 (2024) — a 6.6× increase over a decade. Growth was flat 2014–2017 (21–29 patents/yr), then accelerated sharply post-2018 as global EV mandates took hold. The 2020–2024 period accounts for 69.3% of all filings (451/651), with a steep +34% jump from 2022 to 2023, coinciding with post-COP26 net-zero commitments and national battery supply-chain investment programmes.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6"/>
                <w:szCs w:val="16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Asymmetric IP Concentration — US &amp; China Dominate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US (45.9%) and China (43.5%) together account for 89.4% of all patents, with Europe (8.1%) and Japan (2.5%) far behind. Top 3 assignees — GM Global Tech Operations (32), CATL (22), and StoreDot (19) — collectively represent 11.2% of the dataset. The inclusion of Israeli VC-backed startup StoreDot in the top 3 signals that deep-tech specialisation around extreme fast-charging is a viable IP strategy against industrial giants.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6"/>
                <w:szCs w:val="16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Divergent R&amp;D Portfolios — Depth vs. Breadth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The Firm × Technology heatmap (Fig. 3) exposes two distinct competitive archetypes. GM concentrates 28 of 32 patents in Battery Chemistry — a depth-first IP moat strategy protecting core electrochemistry. CATL distributes across all 5 categories with Thermal &amp; Safety as the second-largest bucket (9 patents), consistent with its role as a vertically-integrated cell supplier. StoreDot splits nearly equally between Battery Chemistry (11) and Charging Technology (8), hedging electrochemical uncertainty with fast-charging system IP.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6"/>
                <w:szCs w:val="16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6"/>
                <w:szCs w:val="16"/>
              </w:rPr>
              <w:t xml:space="preserve">Technology Shift — Thermal &amp; Safety Rising Post-2021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Battery Chemistry maintained 31.9% share in 2014–2018. Post-2021 it grew to 35.4%, but Thermal &amp; Safety saw the sharpest relative gain — from 14.6% (early period) to 20.1% (2021–2024), driven by thermal runaway incidents and tightening UN 38.3 / IEC 62133 safety regulations. Charging Technology held 22.9% early but declined to 17.6% late, suggesting the fast-charging IP wave peaked. Battery Recycling remains chronically underrepresented at ~2.3% despite policy pressure.</w:t>
            </w:r>
          </w:p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/>
            </w:r>
          </w:p>
        </w:tc>
        <w:tc>
          <w:tcPr>
            <w:tcW w:type="dxa" w:w="3480"/>
            <w:tcBorders>
              <w:top w:val="none" w:color="FFFFFF" w:sz="0"/>
              <w:left w:val="single" w:color="D5D8DC" w:sz="4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hd w:fill="0D2B55" w:val="clear"/>
              <w:spacing w:after="70" w:before="0"/>
              <w:ind w:left="80" w:right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KEY ANALYTICAL APPROACH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Trend analysis: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Year-on-year patent count per country. CAGR computation (2014–2024). Structural break identification at 2019 (EV mandate wave) and 2021 (COP26 inflection). — Fig. 1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Firm analysis: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Top-10 assignees by patent count. Corporate vs. University entity classification via NLTK NLP. Concentration ratio (top-3 share). — Fig. 2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Comparative / Cluster: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Firm × Technology Category cross-tabulation heatmap (R&amp;D portfolio strategy). Frequency-based NLP scoring via NLTK lemmatisation across 9-category domain ontology. — Fig. 3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Technology shifts: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100%-stacked area chart of relative technology-category share per year (2014–2024). Early-period (2014–2018) vs. late-period (2021–2024) share comparison. — Fig. 4</w:t>
            </w:r>
          </w:p>
          <w:p>
            <w:pPr>
              <w:spacing w:after="0" w:before="0"/>
            </w:pPr>
            <w:r>
              <w:rPr>
                <w:sz w:val="9"/>
                <w:szCs w:val="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NLP pipeline: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02_cleaner.py: punkt tokenisation, WordNet lemmatisation, stopword removal, frequency scoring across TECH_ONTOLOGY and APP_ONTOLOGY dictionaries — replacing naive regex with domain-aware scoring.</w:t>
            </w:r>
          </w:p>
          <w:p>
            <w:pPr>
              <w:pBdr>
                <w:bottom w:val="single" w:color="D5D8DC" w:sz="3" w:space="1"/>
              </w:pBdr>
              <w:spacing w:after="80" w:before="80"/>
            </w:pPr>
          </w:p>
          <w:p>
            <w:pPr>
              <w:shd w:fill="117A8B" w:val="clear"/>
              <w:spacing w:after="70" w:before="0"/>
              <w:ind w:left="80" w:right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PROPOSED RESEARCH QUESTION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C2833"/>
                <w:sz w:val="15"/>
                <w:szCs w:val="15"/>
              </w:rPr>
              <w:t xml:space="preserve">"Does cross-border patent collaboration between corporate assignees and university research institutions in solid-state and next-generation battery technology reduce time-to-commercialisation, and which policy instruments — R&amp;D tax credits, public-private mandates, or bilateral IP-sharing agreements — most effectively accelerate this transition?"</w:t>
            </w:r>
          </w:p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7A8B"/>
                <w:sz w:val="15"/>
                <w:szCs w:val="15"/>
              </w:rPr>
              <w:t xml:space="preserve">Relevance: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5"/>
                <w:szCs w:val="15"/>
              </w:rPr>
              <w:t xml:space="preserve">Existing patent literature counts filings but does not link institutional collaboration structures to deployment speed or technology diffusion rates. Battery Recycling patents remain at just 2.3% of filings despite strong circular-economy policy mandates — suggesting a commercialisation bottleneck that this question directly addresses. With solid-state batteries approaching readiness (Toyota, QuantumScape, Solid Power), identifying which institutional arrangements accelerate lab-to-market transitions has direct implications for energy-transition policy design and long-duration investment strategy.</w:t>
            </w:r>
          </w:p>
        </w:tc>
      </w:tr>
    </w:tbl>
    <w:p>
      <w:pPr>
        <w:pBdr>
          <w:top w:val="single" w:color="0D2B55" w:sz="5" w:space="4"/>
        </w:pBd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2"/>
          <w:szCs w:val="12"/>
        </w:rPr>
        <w:t xml:space="preserve">Data Source: Lens.org Patent REST API  ·  Scripts: 01_scraper.py, 02_cleaner.py, 02_5_preprocessing.py, 03_analysis.py  ·  NLP: NLTK (punkt, WordNet, stopwords)  ·  Visualisations: Matplotlib &amp; Seaborn  ·  No manual data compilation</w:t>
      </w:r>
    </w:p>
    <w:sectPr>
      <w:pgSz w:w="12240" w:h="15840" w:orient="portrait"/>
      <w:pgMar w:top="460" w:right="640" w:bottom="4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2026-05-12T09:56:37.965Z</dcterms:created>
  <dcterms:modified xsi:type="dcterms:W3CDTF">2026-05-12T09:56:37.967Z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