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8CE5D">
      <w:pPr>
        <w:pStyle w:val="36"/>
        <w:bidi w:val="0"/>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44"/>
          <w:szCs w:val="44"/>
          <w14:textFill>
            <w14:solidFill>
              <w14:schemeClr w14:val="tx1"/>
            </w14:solidFill>
          </w14:textFill>
        </w:rPr>
        <w:t>Freight Rate Prediction — Machine Learning Assessment</w:t>
      </w:r>
      <w:bookmarkStart w:id="0" w:name="_GoBack"/>
      <w:bookmarkEnd w:id="0"/>
    </w:p>
    <w:p w14:paraId="1A02E7DA">
      <w:pPr>
        <w:rPr>
          <w:rFonts w:hint="default" w:ascii="Times New Roman" w:hAnsi="Times New Roman" w:cs="Times New Roman"/>
        </w:rPr>
      </w:pPr>
      <w:r>
        <w:rPr>
          <w:rFonts w:hint="default" w:ascii="Times New Roman" w:hAnsi="Times New Roman" w:cs="Times New Roman"/>
        </w:rPr>
        <w:t>Prepared for: Spotter AI</w:t>
      </w:r>
    </w:p>
    <w:p w14:paraId="273AD958">
      <w:pPr>
        <w:rPr>
          <w:rFonts w:hint="default" w:ascii="Times New Roman" w:hAnsi="Times New Roman" w:cs="Times New Roman"/>
        </w:rPr>
      </w:pPr>
      <w:r>
        <w:rPr>
          <w:rFonts w:hint="default" w:ascii="Times New Roman" w:hAnsi="Times New Roman" w:cs="Times New Roman"/>
        </w:rPr>
        <w:t>Candidate: Md Rakibul Islam</w:t>
      </w:r>
    </w:p>
    <w:p w14:paraId="1B233E60">
      <w:pPr>
        <w:pStyle w:val="2"/>
        <w:bidi w:val="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1. Executive Summary</w:t>
      </w:r>
    </w:p>
    <w:p w14:paraId="199DB951">
      <w:pPr>
        <w:jc w:val="both"/>
        <w:rPr>
          <w:rFonts w:hint="default" w:ascii="Times New Roman" w:hAnsi="Times New Roman" w:cs="Times New Roman"/>
        </w:rPr>
      </w:pPr>
      <w:r>
        <w:rPr>
          <w:rFonts w:hint="default" w:ascii="Times New Roman" w:hAnsi="Times New Roman" w:cs="Times New Roman"/>
        </w:rPr>
        <w:t>This project develops a machine-learning model to predict freight rates from shipment, route, equipment, weight, and date-related features. CatBoost was selected from the evaluated models because it achieved the lowest mean absolute error (MAE) on the temporal validation set.</w:t>
      </w:r>
    </w:p>
    <w:p w14:paraId="75C78E5D">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Dataset and Preprocessing</w:t>
      </w:r>
    </w:p>
    <w:p w14:paraId="195CD87F">
      <w:pPr>
        <w:jc w:val="both"/>
        <w:rPr>
          <w:rFonts w:hint="default" w:ascii="Times New Roman" w:hAnsi="Times New Roman" w:cs="Times New Roman"/>
        </w:rPr>
      </w:pPr>
      <w:r>
        <w:rPr>
          <w:rFonts w:hint="default" w:ascii="Times New Roman" w:hAnsi="Times New Roman" w:cs="Times New Roman"/>
        </w:rPr>
        <w:t>The labeled training dataset contains 48,000 rows and 14 columns. The validation dataset contains 12,000 rows and 13 columns. The December chart input contains 31 daily rows.</w:t>
      </w:r>
    </w:p>
    <w:p w14:paraId="6BD26EC7">
      <w:pPr>
        <w:jc w:val="both"/>
        <w:rPr>
          <w:rFonts w:hint="default" w:ascii="Times New Roman" w:hAnsi="Times New Roman" w:cs="Times New Roman"/>
        </w:rPr>
      </w:pPr>
      <w:r>
        <w:rPr>
          <w:rFonts w:hint="default" w:ascii="Times New Roman" w:hAnsi="Times New Roman" w:cs="Times New Roman"/>
        </w:rPr>
        <w:t>The load identifier was excluded from model features. Dates were parsed and transformed into year, month, day, day of week, day of year, and a time index. A route feature and a distance-per-1,000-pound feature were also engineered. Categorical and numerical columns were handled according to the model's input requirements.</w:t>
      </w:r>
    </w:p>
    <w:p w14:paraId="669F37D8">
      <w:pPr>
        <w:jc w:val="both"/>
        <w:rPr>
          <w:rFonts w:hint="default" w:ascii="Times New Roman" w:hAnsi="Times New Roman" w:cs="Times New Roman"/>
        </w:rPr>
      </w:pPr>
      <w:r>
        <w:rPr>
          <w:rFonts w:hint="default" w:ascii="Times New Roman" w:hAnsi="Times New Roman" w:cs="Times New Roman"/>
        </w:rPr>
        <w:t>Market index and quote signal were excluded because they were not available in the December chart input. This avoided requiring those features for December predictions.</w:t>
      </w:r>
    </w:p>
    <w:p w14:paraId="3C1B6939">
      <w:pPr>
        <w:pStyle w:val="2"/>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Validation Strategy</w:t>
      </w:r>
    </w:p>
    <w:p w14:paraId="752DDA12">
      <w:pPr>
        <w:jc w:val="both"/>
        <w:rPr>
          <w:rFonts w:hint="default" w:ascii="Times New Roman" w:hAnsi="Times New Roman" w:cs="Times New Roman"/>
        </w:rPr>
      </w:pPr>
      <w:r>
        <w:rPr>
          <w:rFonts w:hint="default" w:ascii="Times New Roman" w:hAnsi="Times New Roman" w:cs="Times New Roman"/>
        </w:rPr>
        <w:t>A time-based split was used: January through September records formed the training portion, and October records formed the validation portion. This approach tests performance on a later time period rather than randomly mixing dates. The final CatBoost model was then fitted on all labeled training data.</w:t>
      </w:r>
    </w:p>
    <w:p w14:paraId="0C927D97">
      <w:pPr>
        <w:jc w:val="both"/>
        <w:rPr>
          <w:rFonts w:hint="default" w:ascii="Times New Roman" w:hAnsi="Times New Roman" w:cs="Times New Roman"/>
        </w:rPr>
      </w:pPr>
    </w:p>
    <w:p w14:paraId="6860DD65">
      <w:pPr>
        <w:jc w:val="both"/>
        <w:rPr>
          <w:rFonts w:hint="default" w:ascii="Times New Roman" w:hAnsi="Times New Roman" w:cs="Times New Roman"/>
        </w:rPr>
      </w:pPr>
    </w:p>
    <w:p w14:paraId="70D0DE5E">
      <w:pPr>
        <w:jc w:val="both"/>
        <w:rPr>
          <w:rFonts w:hint="default" w:ascii="Times New Roman" w:hAnsi="Times New Roman" w:cs="Times New Roman"/>
        </w:rPr>
      </w:pPr>
    </w:p>
    <w:p w14:paraId="1318E4A9">
      <w:pPr>
        <w:jc w:val="both"/>
        <w:rPr>
          <w:rFonts w:hint="default" w:ascii="Times New Roman" w:hAnsi="Times New Roman" w:cs="Times New Roman"/>
        </w:rPr>
      </w:pPr>
    </w:p>
    <w:p w14:paraId="0F62D0CB">
      <w:pPr>
        <w:jc w:val="both"/>
        <w:rPr>
          <w:rFonts w:hint="default" w:ascii="Times New Roman" w:hAnsi="Times New Roman" w:cs="Times New Roman"/>
        </w:rPr>
      </w:pPr>
    </w:p>
    <w:p w14:paraId="0F014A78">
      <w:pPr>
        <w:jc w:val="both"/>
        <w:rPr>
          <w:rFonts w:hint="default" w:ascii="Times New Roman" w:hAnsi="Times New Roman" w:cs="Times New Roman"/>
        </w:rPr>
      </w:pPr>
    </w:p>
    <w:p w14:paraId="4D23BDEF">
      <w:pPr>
        <w:jc w:val="both"/>
        <w:rPr>
          <w:rFonts w:hint="default" w:ascii="Times New Roman" w:hAnsi="Times New Roman" w:cs="Times New Roman"/>
        </w:rPr>
      </w:pPr>
    </w:p>
    <w:p w14:paraId="38539513">
      <w:pPr>
        <w:jc w:val="both"/>
        <w:rPr>
          <w:rFonts w:hint="default" w:ascii="Times New Roman" w:hAnsi="Times New Roman" w:cs="Times New Roman"/>
        </w:rPr>
      </w:pPr>
    </w:p>
    <w:p w14:paraId="65AFBB7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Model Comparison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1E40216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47AB285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Model</w:t>
            </w:r>
          </w:p>
        </w:tc>
        <w:tc>
          <w:tcPr>
            <w:tcW w:w="2880" w:type="dxa"/>
          </w:tcPr>
          <w:p w14:paraId="5FF5013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Validation MAE</w:t>
            </w:r>
          </w:p>
        </w:tc>
        <w:tc>
          <w:tcPr>
            <w:tcW w:w="2880" w:type="dxa"/>
          </w:tcPr>
          <w:p w14:paraId="508D75A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Validation RMSE</w:t>
            </w:r>
          </w:p>
        </w:tc>
      </w:tr>
      <w:tr w14:paraId="7BB7326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32CA2FA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CatBoost</w:t>
            </w:r>
          </w:p>
        </w:tc>
        <w:tc>
          <w:tcPr>
            <w:tcW w:w="2880" w:type="dxa"/>
          </w:tcPr>
          <w:p w14:paraId="6BD598E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$108.35</w:t>
            </w:r>
          </w:p>
        </w:tc>
        <w:tc>
          <w:tcPr>
            <w:tcW w:w="2880" w:type="dxa"/>
          </w:tcPr>
          <w:p w14:paraId="308A34B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$645.59</w:t>
            </w:r>
          </w:p>
        </w:tc>
      </w:tr>
      <w:tr w14:paraId="63AEBD2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11BC231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XGBoost</w:t>
            </w:r>
          </w:p>
        </w:tc>
        <w:tc>
          <w:tcPr>
            <w:tcW w:w="2880" w:type="dxa"/>
          </w:tcPr>
          <w:p w14:paraId="56A92FE5">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$174.89</w:t>
            </w:r>
          </w:p>
        </w:tc>
        <w:tc>
          <w:tcPr>
            <w:tcW w:w="2880" w:type="dxa"/>
          </w:tcPr>
          <w:p w14:paraId="748E406C">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 recorded</w:t>
            </w:r>
          </w:p>
        </w:tc>
      </w:tr>
      <w:tr w14:paraId="390C94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0F68883C">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Regression</w:t>
            </w:r>
          </w:p>
        </w:tc>
        <w:tc>
          <w:tcPr>
            <w:tcW w:w="2880" w:type="dxa"/>
          </w:tcPr>
          <w:p w14:paraId="26BBA17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$180.54</w:t>
            </w:r>
          </w:p>
        </w:tc>
        <w:tc>
          <w:tcPr>
            <w:tcW w:w="2880" w:type="dxa"/>
          </w:tcPr>
          <w:p w14:paraId="27DD4794">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 recorded</w:t>
            </w:r>
          </w:p>
        </w:tc>
      </w:tr>
      <w:tr w14:paraId="7C0EC9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47023AD7">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Random Forest</w:t>
            </w:r>
          </w:p>
        </w:tc>
        <w:tc>
          <w:tcPr>
            <w:tcW w:w="2880" w:type="dxa"/>
          </w:tcPr>
          <w:p w14:paraId="5E9F7B3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$216.49</w:t>
            </w:r>
          </w:p>
        </w:tc>
        <w:tc>
          <w:tcPr>
            <w:tcW w:w="2880" w:type="dxa"/>
          </w:tcPr>
          <w:p w14:paraId="2398361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 recorded</w:t>
            </w:r>
          </w:p>
        </w:tc>
      </w:tr>
      <w:tr w14:paraId="1D843BD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24C460A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KNN</w:t>
            </w:r>
          </w:p>
        </w:tc>
        <w:tc>
          <w:tcPr>
            <w:tcW w:w="2880" w:type="dxa"/>
          </w:tcPr>
          <w:p w14:paraId="65912FA5">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$273.07</w:t>
            </w:r>
          </w:p>
        </w:tc>
        <w:tc>
          <w:tcPr>
            <w:tcW w:w="2880" w:type="dxa"/>
          </w:tcPr>
          <w:p w14:paraId="62CDD92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 recorded</w:t>
            </w:r>
          </w:p>
        </w:tc>
      </w:tr>
    </w:tbl>
    <w:p w14:paraId="3CF5637F"/>
    <w:p w14:paraId="04F52671">
      <w:pPr>
        <w:jc w:val="both"/>
        <w:rPr>
          <w:rFonts w:hint="default" w:ascii="Times New Roman" w:hAnsi="Times New Roman" w:cs="Times New Roman"/>
        </w:rPr>
      </w:pPr>
      <w:r>
        <w:rPr>
          <w:rFonts w:hint="default" w:ascii="Times New Roman" w:hAnsi="Times New Roman" w:cs="Times New Roman"/>
        </w:rPr>
        <w:t>CatBoost was selected based on its lowest observed validation MAE. The validation RMSE was $645.59. Since RMSE penalizes large errors more heavily than MAE, the difference between these metrics suggests that large individual errors may affect performance. The error distribution should be examined further before drawing conclusions about their causes.</w:t>
      </w:r>
    </w:p>
    <w:p w14:paraId="1EAC7ED6">
      <w:pPr>
        <w:pStyle w:val="2"/>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Final Model Configuration</w:t>
      </w:r>
    </w:p>
    <w:p w14:paraId="33A89486">
      <w:pPr>
        <w:jc w:val="both"/>
        <w:rPr>
          <w:rFonts w:hint="default" w:ascii="Times New Roman" w:hAnsi="Times New Roman" w:cs="Times New Roman"/>
        </w:rPr>
      </w:pPr>
      <w:r>
        <w:rPr>
          <w:rFonts w:hint="default" w:ascii="Times New Roman" w:hAnsi="Times New Roman" w:cs="Times New Roman"/>
        </w:rPr>
        <w:t>The final CatBoost model used 354 iterations, depth 8, learning rate 0.04, MAE loss, L2 regularization of 5, and random seed 42. The model was fitted on the full labeled training dataset to generate the final submission predictions.</w:t>
      </w:r>
    </w:p>
    <w:p w14:paraId="411CD7A0">
      <w:pPr>
        <w:pStyle w:val="2"/>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Feature Importance</w:t>
      </w:r>
    </w:p>
    <w:p w14:paraId="6B3E5540">
      <w:pPr>
        <w:jc w:val="both"/>
        <w:rPr>
          <w:rFonts w:hint="default" w:ascii="Times New Roman" w:hAnsi="Times New Roman" w:cs="Times New Roman"/>
        </w:rPr>
      </w:pPr>
      <w:r>
        <w:rPr>
          <w:rFonts w:hint="default" w:ascii="Times New Roman" w:hAnsi="Times New Roman" w:cs="Times New Roman"/>
        </w:rPr>
        <w:t>Distance had the highest reported relative feature importance, followed by equipment, pickup location, weight, and delivery-location features. These importance values describe the model's use of features; they do not establish causal relationships.</w:t>
      </w:r>
    </w:p>
    <w:p w14:paraId="581BC8C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December Predictions</w:t>
      </w:r>
    </w:p>
    <w:p w14:paraId="78CF2F18">
      <w:pPr>
        <w:jc w:val="both"/>
        <w:rPr>
          <w:rFonts w:hint="default" w:ascii="Times New Roman" w:hAnsi="Times New Roman" w:cs="Times New Roman"/>
        </w:rPr>
      </w:pPr>
      <w:r>
        <w:rPr>
          <w:rFonts w:hint="default" w:ascii="Times New Roman" w:hAnsi="Times New Roman" w:cs="Times New Roman"/>
        </w:rPr>
        <w:t>The December output contains 31 daily predictions for the specified Lexington-to-Fort-Wayne route, with a distance of 360 miles, Dry Van equipment, and a weight of 32,000 pounds. The route and shipment attributes were held fixed while the date varied.</w:t>
      </w:r>
    </w:p>
    <w:p w14:paraId="78FB789D">
      <w:pPr>
        <w:jc w:val="both"/>
        <w:rPr>
          <w:rFonts w:hint="default" w:ascii="Times New Roman" w:hAnsi="Times New Roman" w:cs="Times New Roman"/>
        </w:rPr>
      </w:pPr>
      <w:r>
        <w:rPr>
          <w:rFonts w:hint="default" w:ascii="Times New Roman" w:hAnsi="Times New Roman" w:cs="Times New Roman"/>
        </w:rPr>
        <w:t>The generated December predictions range from $806.07 to $838.03. For December records, missing city coordinates were filled using city-level average coordinates from the training data, with an overall mean fallback where a city was unavailable.</w:t>
      </w:r>
    </w:p>
    <w:p w14:paraId="56A9F28C">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Submission Validation</w:t>
      </w:r>
    </w:p>
    <w:p w14:paraId="09BFD250">
      <w:pPr>
        <w:jc w:val="both"/>
        <w:rPr>
          <w:rFonts w:hint="default" w:ascii="Times New Roman" w:hAnsi="Times New Roman" w:cs="Times New Roman"/>
        </w:rPr>
      </w:pPr>
      <w:r>
        <w:rPr>
          <w:rFonts w:hint="default" w:ascii="Times New Roman" w:hAnsi="Times New Roman" w:cs="Times New Roman"/>
        </w:rPr>
        <w:t>The official scorer reported that 12,000 final validation predictions and 31 fixed December predictions were validated. It also generated candidate_december.png. These checks confirm the required prediction structure and constraints, not the final hidden validation score.</w:t>
      </w:r>
    </w:p>
    <w:p w14:paraId="06A4F4FA">
      <w:pPr>
        <w:pStyle w:val="2"/>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Limitations and Next Steps</w:t>
      </w:r>
    </w:p>
    <w:p w14:paraId="3011014E">
      <w:pPr>
        <w:rPr>
          <w:rFonts w:hint="default" w:ascii="Times New Roman" w:hAnsi="Times New Roman" w:cs="Times New Roman"/>
        </w:rPr>
      </w:pPr>
      <w:r>
        <w:rPr>
          <w:rFonts w:hint="default" w:ascii="Times New Roman" w:hAnsi="Times New Roman" w:cs="Times New Roman"/>
        </w:rPr>
        <w:t>The reported metrics are from the local temporal validation experiment. Final validation metrics are calculated by Spotter after submission. Further work could include examining large residuals, checking error patterns by route and time, and testing model robustness across market conditions. No claim is made here about the final hidden evaluation score.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7935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538</Words>
  <Characters>3193</Characters>
  <Lines>0</Lines>
  <Paragraphs>0</Paragraphs>
  <TotalTime>8</TotalTime>
  <ScaleCrop>false</ScaleCrop>
  <LinksUpToDate>false</LinksUpToDate>
  <CharactersWithSpaces>3689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Rakibul Islam</cp:lastModifiedBy>
  <dcterms:modified xsi:type="dcterms:W3CDTF">2026-10-10T22:00:37Z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eyJoZGlkIjoiMjVhNjBhNTBiOGI3NDI2ZDhiMzYyMzU0YjdjODQ3NmUiLCJ1c2VySWQiOiI4ODEzNTUzNTI1MTkxIn0=</vt:lpwstr>
  </property>
  <property fmtid="{D5CDD505-2E9C-101B-9397-08002B2CF9AE}" pid="3" name="KSOProductBuildVer">
    <vt:lpwstr>1033-12.1.0.28485</vt:lpwstr>
  </property>
  <property fmtid="{D5CDD505-2E9C-101B-9397-08002B2CF9AE}" pid="4" name="ICV">
    <vt:lpwstr>95178B65943B47D8AAE874815FBC04AA_12</vt:lpwstr>
  </property>
</Properties>
</file>