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pPr>
      <w:r>
        <w:drawing xmlns:a="http://schemas.openxmlformats.org/drawingml/2006/main">
          <wp:inline distT="0" distB="0" distL="0" distR="0">
            <wp:extent cx="5731510" cy="863600"/>
            <wp:effectExtent l="0" t="0" r="0" b="0"/>
            <wp:docPr id="1073741825" name="officeArt object" descr="Image&#10;&#10;image1.png"/>
            <wp:cNvGraphicFramePr/>
            <a:graphic xmlns:a="http://schemas.openxmlformats.org/drawingml/2006/main">
              <a:graphicData uri="http://schemas.openxmlformats.org/drawingml/2006/picture">
                <pic:pic xmlns:pic="http://schemas.openxmlformats.org/drawingml/2006/picture">
                  <pic:nvPicPr>
                    <pic:cNvPr id="1073741825" name="Imageimage1.png" descr="Imageimage1.png"/>
                    <pic:cNvPicPr>
                      <a:picLocks noChangeAspect="1"/>
                    </pic:cNvPicPr>
                  </pic:nvPicPr>
                  <pic:blipFill>
                    <a:blip r:embed="rId4">
                      <a:extLst/>
                    </a:blip>
                    <a:stretch>
                      <a:fillRect/>
                    </a:stretch>
                  </pic:blipFill>
                  <pic:spPr>
                    <a:xfrm>
                      <a:off x="0" y="0"/>
                      <a:ext cx="5731510" cy="863600"/>
                    </a:xfrm>
                    <a:prstGeom prst="rect">
                      <a:avLst/>
                    </a:prstGeom>
                    <a:ln w="12700" cap="flat">
                      <a:noFill/>
                      <a:miter lim="400000"/>
                    </a:ln>
                    <a:effectLst/>
                  </pic:spPr>
                </pic:pic>
              </a:graphicData>
            </a:graphic>
          </wp:inline>
        </w:drawing>
      </w:r>
    </w:p>
    <w:p>
      <w:pPr>
        <w:pStyle w:val="Body"/>
        <w:jc w:val="center"/>
        <w:rPr>
          <w:rFonts w:ascii="Times New Roman" w:cs="Times New Roman" w:hAnsi="Times New Roman" w:eastAsia="Times New Roman"/>
          <w:b w:val="1"/>
          <w:bCs w:val="1"/>
          <w:sz w:val="28"/>
          <w:szCs w:val="28"/>
        </w:rPr>
      </w:pPr>
      <w:r>
        <w:rPr>
          <w:rFonts w:ascii="Times New Roman" w:hAnsi="Times New Roman"/>
          <w:b w:val="1"/>
          <w:bCs w:val="1"/>
          <w:sz w:val="28"/>
          <w:szCs w:val="28"/>
        </w:rPr>
        <mc:AlternateContent>
          <mc:Choice Requires="wps">
            <w:drawing xmlns:a="http://schemas.openxmlformats.org/drawingml/2006/main">
              <wp:anchor distT="0" distB="0" distL="0" distR="0" simplePos="0" relativeHeight="251659264" behindDoc="0" locked="0" layoutInCell="1" allowOverlap="1">
                <wp:simplePos x="0" y="0"/>
                <wp:positionH relativeFrom="page">
                  <wp:posOffset>463543</wp:posOffset>
                </wp:positionH>
                <wp:positionV relativeFrom="line">
                  <wp:posOffset>259715</wp:posOffset>
                </wp:positionV>
                <wp:extent cx="6711951" cy="6351"/>
                <wp:effectExtent l="0" t="0" r="0" b="0"/>
                <wp:wrapNone/>
                <wp:docPr id="1073741826" name="officeArt object" descr="Straight Connector 1"/>
                <wp:cNvGraphicFramePr/>
                <a:graphic xmlns:a="http://schemas.openxmlformats.org/drawingml/2006/main">
                  <a:graphicData uri="http://schemas.microsoft.com/office/word/2010/wordprocessingShape">
                    <wps:wsp>
                      <wps:cNvSpPr/>
                      <wps:spPr>
                        <a:xfrm>
                          <a:off x="0" y="0"/>
                          <a:ext cx="6711951" cy="6351"/>
                        </a:xfrm>
                        <a:prstGeom prst="line">
                          <a:avLst/>
                        </a:prstGeom>
                        <a:noFill/>
                        <a:ln w="12700" cap="flat">
                          <a:solidFill>
                            <a:srgbClr val="000000"/>
                          </a:solidFill>
                          <a:prstDash val="solid"/>
                          <a:miter lim="800000"/>
                        </a:ln>
                        <a:effectLst/>
                      </wps:spPr>
                      <wps:bodyPr/>
                    </wps:wsp>
                  </a:graphicData>
                </a:graphic>
              </wp:anchor>
            </w:drawing>
          </mc:Choice>
          <mc:Fallback>
            <w:pict>
              <v:line id="_x0000_s1026" style="visibility:visible;position:absolute;margin-left:36.5pt;margin-top:20.5pt;width:528.5pt;height:0.5pt;z-index:251659264;mso-position-horizontal:absolute;mso-position-horizontal-relative:page;mso-position-vertical:absolute;mso-position-vertical-relative:line;mso-wrap-distance-left:0.0pt;mso-wrap-distance-top:0.0pt;mso-wrap-distance-right:0.0pt;mso-wrap-distance-bottom:0.0pt;">
                <v:fill on="f"/>
                <v:stroke filltype="solid" color="#000000" opacity="100.0%" weight="1.0pt" dashstyle="solid" endcap="flat" miterlimit="800.0%" joinstyle="miter" linestyle="single" startarrow="none" startarrowwidth="medium" startarrowlength="medium" endarrow="none" endarrowwidth="medium" endarrowlength="medium"/>
                <w10:wrap type="none" side="bothSides" anchorx="page"/>
              </v:line>
            </w:pict>
          </mc:Fallback>
        </mc:AlternateContent>
      </w:r>
      <w:r>
        <w:rPr>
          <w:rFonts w:ascii="Times New Roman" w:hAnsi="Times New Roman"/>
          <w:b w:val="1"/>
          <w:bCs w:val="1"/>
          <w:sz w:val="28"/>
          <w:szCs w:val="28"/>
          <w:rtl w:val="0"/>
          <w:lang w:val="en-US"/>
        </w:rPr>
        <w:t>DEPARTMENT OF CSE/CS&amp;IT</w:t>
      </w:r>
    </w:p>
    <w:p>
      <w:pPr>
        <w:pStyle w:val="Body"/>
        <w:jc w:val="center"/>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de-DE"/>
        </w:rPr>
        <w:t xml:space="preserve">PROJECT ABSTRACT SUBMISSION </w:t>
      </w:r>
    </w:p>
    <w:p>
      <w:pPr>
        <w:pStyle w:val="Body"/>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de-DE"/>
        </w:rPr>
        <w:t>COURSE: DATA WAREHOUSING AND MINING (23DSB3202R)        A.Y. 2025 - 2026</w:t>
      </w:r>
    </w:p>
    <w:tbl>
      <w:tblPr>
        <w:tblW w:w="104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198"/>
        <w:gridCol w:w="2892"/>
        <w:gridCol w:w="5370"/>
      </w:tblGrid>
      <w:tr>
        <w:tblPrEx>
          <w:shd w:val="clear" w:color="auto" w:fill="cdd4e9"/>
        </w:tblPrEx>
        <w:trPr>
          <w:trHeight w:val="308" w:hRule="atLeast"/>
        </w:trPr>
        <w:tc>
          <w:tcPr>
            <w:tcW w:type="dxa" w:w="2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b w:val="1"/>
                <w:bCs w:val="1"/>
                <w:sz w:val="24"/>
                <w:szCs w:val="24"/>
                <w:shd w:val="nil" w:color="auto" w:fill="auto"/>
                <w:rtl w:val="0"/>
                <w:lang w:val="en-US"/>
              </w:rPr>
              <w:t>Title of The Project</w:t>
            </w:r>
          </w:p>
        </w:tc>
        <w:tc>
          <w:tcPr>
            <w:tcW w:type="dxa" w:w="8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8" w:hRule="atLeast"/>
        </w:trPr>
        <w:tc>
          <w:tcPr>
            <w:tcW w:type="dxa" w:w="2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24"/>
                <w:szCs w:val="24"/>
                <w:shd w:val="nil" w:color="auto" w:fill="auto"/>
                <w:rtl w:val="0"/>
                <w:lang w:val="en-US"/>
              </w:rPr>
              <w:t>S. No.</w:t>
            </w:r>
          </w:p>
        </w:tc>
        <w:tc>
          <w:tcPr>
            <w:tcW w:type="dxa" w:w="2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24"/>
                <w:szCs w:val="24"/>
                <w:shd w:val="nil" w:color="auto" w:fill="auto"/>
                <w:rtl w:val="0"/>
                <w:lang w:val="en-US"/>
              </w:rPr>
              <w:t>University ID</w:t>
            </w:r>
          </w:p>
        </w:tc>
        <w:tc>
          <w:tcPr>
            <w:tcW w:type="dxa" w:w="5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24"/>
                <w:szCs w:val="24"/>
                <w:shd w:val="nil" w:color="auto" w:fill="auto"/>
                <w:rtl w:val="0"/>
                <w:lang w:val="en-US"/>
              </w:rPr>
              <w:t>Name</w:t>
            </w:r>
          </w:p>
        </w:tc>
      </w:tr>
      <w:tr>
        <w:tblPrEx>
          <w:shd w:val="clear" w:color="auto" w:fill="cdd4e9"/>
        </w:tblPrEx>
        <w:trPr>
          <w:trHeight w:val="308" w:hRule="atLeast"/>
        </w:trPr>
        <w:tc>
          <w:tcPr>
            <w:tcW w:type="dxa" w:w="2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24"/>
                <w:szCs w:val="24"/>
                <w:shd w:val="nil" w:color="auto" w:fill="auto"/>
                <w:rtl w:val="0"/>
                <w:lang w:val="en-US"/>
              </w:rPr>
              <w:t>1</w:t>
            </w:r>
          </w:p>
        </w:tc>
        <w:tc>
          <w:tcPr>
            <w:tcW w:type="dxa" w:w="2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rtl w:val="0"/>
                <w14:textOutline>
                  <w14:noFill/>
                </w14:textOutline>
                <w14:textFill>
                  <w14:solidFill>
                    <w14:srgbClr w14:val="000000"/>
                  </w14:solidFill>
                </w14:textFill>
              </w:rPr>
              <w:t>2320030004</w:t>
            </w:r>
          </w:p>
        </w:tc>
        <w:tc>
          <w:tcPr>
            <w:tcW w:type="dxa" w:w="5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rtl w:val="0"/>
                <w14:textOutline>
                  <w14:noFill/>
                </w14:textOutline>
                <w14:textFill>
                  <w14:solidFill>
                    <w14:srgbClr w14:val="000000"/>
                  </w14:solidFill>
                </w14:textFill>
              </w:rPr>
              <w:t>D Hemanth Raj</w:t>
            </w:r>
          </w:p>
        </w:tc>
      </w:tr>
      <w:tr>
        <w:tblPrEx>
          <w:shd w:val="clear" w:color="auto" w:fill="cdd4e9"/>
        </w:tblPrEx>
        <w:trPr>
          <w:trHeight w:val="308" w:hRule="atLeast"/>
        </w:trPr>
        <w:tc>
          <w:tcPr>
            <w:tcW w:type="dxa" w:w="2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24"/>
                <w:szCs w:val="24"/>
                <w:shd w:val="nil" w:color="auto" w:fill="auto"/>
                <w:rtl w:val="0"/>
                <w:lang w:val="en-US"/>
              </w:rPr>
              <w:t>2</w:t>
            </w:r>
          </w:p>
        </w:tc>
        <w:tc>
          <w:tcPr>
            <w:tcW w:type="dxa" w:w="2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rtl w:val="0"/>
                <w14:textOutline>
                  <w14:noFill/>
                </w14:textOutline>
                <w14:textFill>
                  <w14:solidFill>
                    <w14:srgbClr w14:val="000000"/>
                  </w14:solidFill>
                </w14:textFill>
              </w:rPr>
              <w:t>2320030049</w:t>
            </w:r>
          </w:p>
        </w:tc>
        <w:tc>
          <w:tcPr>
            <w:tcW w:type="dxa" w:w="5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rtl w:val="0"/>
                <w14:textOutline>
                  <w14:noFill/>
                </w14:textOutline>
                <w14:textFill>
                  <w14:solidFill>
                    <w14:srgbClr w14:val="000000"/>
                  </w14:solidFill>
                </w14:textFill>
              </w:rPr>
              <w:t xml:space="preserve">P Hrishikesh Reddy </w:t>
            </w:r>
          </w:p>
        </w:tc>
      </w:tr>
      <w:tr>
        <w:tblPrEx>
          <w:shd w:val="clear" w:color="auto" w:fill="cdd4e9"/>
        </w:tblPrEx>
        <w:trPr>
          <w:trHeight w:val="308" w:hRule="atLeast"/>
        </w:trPr>
        <w:tc>
          <w:tcPr>
            <w:tcW w:type="dxa" w:w="2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24"/>
                <w:szCs w:val="24"/>
                <w:shd w:val="nil" w:color="auto" w:fill="auto"/>
                <w:rtl w:val="0"/>
                <w:lang w:val="en-US"/>
              </w:rPr>
              <w:t>3</w:t>
            </w:r>
          </w:p>
        </w:tc>
        <w:tc>
          <w:tcPr>
            <w:tcW w:type="dxa" w:w="2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rtl w:val="0"/>
                <w14:textOutline>
                  <w14:noFill/>
                </w14:textOutline>
                <w14:textFill>
                  <w14:solidFill>
                    <w14:srgbClr w14:val="000000"/>
                  </w14:solidFill>
                </w14:textFill>
              </w:rPr>
              <w:t>2320030215</w:t>
            </w:r>
          </w:p>
        </w:tc>
        <w:tc>
          <w:tcPr>
            <w:tcW w:type="dxa" w:w="5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rtl w:val="0"/>
                <w14:textOutline>
                  <w14:noFill/>
                </w14:textOutline>
                <w14:textFill>
                  <w14:solidFill>
                    <w14:srgbClr w14:val="000000"/>
                  </w14:solidFill>
                </w14:textFill>
              </w:rPr>
              <w:t>P Abhinav</w:t>
            </w:r>
          </w:p>
        </w:tc>
      </w:tr>
      <w:tr>
        <w:tblPrEx>
          <w:shd w:val="clear" w:color="auto" w:fill="cdd4e9"/>
        </w:tblPrEx>
        <w:trPr>
          <w:trHeight w:val="308" w:hRule="atLeast"/>
        </w:trPr>
        <w:tc>
          <w:tcPr>
            <w:tcW w:type="dxa" w:w="2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rtl w:val="0"/>
                <w14:textOutline>
                  <w14:noFill/>
                </w14:textOutline>
                <w14:textFill>
                  <w14:solidFill>
                    <w14:srgbClr w14:val="000000"/>
                  </w14:solidFill>
                </w14:textFill>
              </w:rPr>
              <w:t>4</w:t>
            </w:r>
          </w:p>
        </w:tc>
        <w:tc>
          <w:tcPr>
            <w:tcW w:type="dxa" w:w="2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rtl w:val="0"/>
                <w14:textOutline>
                  <w14:noFill/>
                </w14:textOutline>
                <w14:textFill>
                  <w14:solidFill>
                    <w14:srgbClr w14:val="000000"/>
                  </w14:solidFill>
                </w14:textFill>
              </w:rPr>
              <w:t>2320030270</w:t>
            </w:r>
          </w:p>
        </w:tc>
        <w:tc>
          <w:tcPr>
            <w:tcW w:type="dxa" w:w="5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rtl w:val="0"/>
                <w14:textOutline>
                  <w14:noFill/>
                </w14:textOutline>
                <w14:textFill>
                  <w14:solidFill>
                    <w14:srgbClr w14:val="000000"/>
                  </w14:solidFill>
                </w14:textFill>
              </w:rPr>
              <w:t>M Sohan Reddy</w:t>
            </w:r>
          </w:p>
        </w:tc>
      </w:tr>
    </w:tbl>
    <w:p>
      <w:pPr>
        <w:pStyle w:val="Body"/>
        <w:widowControl w:val="0"/>
        <w:spacing w:line="240" w:lineRule="auto"/>
        <w:jc w:val="center"/>
        <w:rPr>
          <w:rFonts w:ascii="Times New Roman" w:cs="Times New Roman" w:hAnsi="Times New Roman" w:eastAsia="Times New Roman"/>
          <w:b w:val="1"/>
          <w:bCs w:val="1"/>
          <w:sz w:val="28"/>
          <w:szCs w:val="28"/>
        </w:rPr>
      </w:pPr>
    </w:p>
    <w:p>
      <w:pPr>
        <w:pStyle w:val="Body"/>
        <w:ind w:firstLine="720"/>
        <w:rPr>
          <w:rFonts w:ascii="Times New Roman" w:cs="Times New Roman" w:hAnsi="Times New Roman" w:eastAsia="Times New Roman"/>
          <w:b w:val="1"/>
          <w:bCs w:val="1"/>
          <w:sz w:val="28"/>
          <w:szCs w:val="28"/>
        </w:rPr>
      </w:pPr>
    </w:p>
    <w:p>
      <w:pPr>
        <w:pStyle w:val="Body"/>
        <w:ind w:firstLine="720"/>
        <w:rPr>
          <w:rFonts w:ascii="Times New Roman" w:cs="Times New Roman" w:hAnsi="Times New Roman" w:eastAsia="Times New Roman"/>
          <w:sz w:val="28"/>
          <w:szCs w:val="28"/>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rapid growth of the film industry and online streaming platforms has generated massive volumes of movie-related data, including ratings, reviews, genres, box office collections, and audience preferences. This project, Discovering Movie Trends through Data Mining, aims to analyze large-scale movie datasets to identify meaningful patterns, trends, and insights that influence the success and popularity of films.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Using data mining techniques such as classification, clustering, association rule mining, and sentiment analysis, the study examines how factors like genre, cast, director, release year, budget, and audience ratings impact movie performance. Data preprocessing methods including cleaning, transformation, and feature selection are applied to ensure accuracy and reliability of analysis. Visualization tools are used to represent patterns and evolving trends across different time periods.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results help uncover emerging genre trends, changing audience preferences, seasonal performance patterns, and key factors contributing to box office success. These insights can support producers, streaming platforms, and marketers in making data-driven decisions for content creation, investment planning, and targeted promotions.</w:t>
      </w:r>
    </w:p>
    <w:p>
      <w:pPr>
        <w:pStyle w:val="Default"/>
        <w:suppressAutoHyphens w:val="1"/>
        <w:spacing w:before="0" w:after="240" w:line="240" w:lineRule="auto"/>
      </w:pPr>
      <w:r>
        <w:rPr>
          <w:rFonts w:ascii="Times Roman" w:hAnsi="Times Roman"/>
          <w:rtl w:val="0"/>
          <w:lang w:val="en-US"/>
        </w:rPr>
        <w:t>Overall, this project demonstrates how data mining techniques can transform raw movie data into actionable knowledge, enabling a deeper understanding of industry trends and consumer behavio</w:t>
      </w:r>
      <w:r>
        <w:rPr>
          <w:rFonts w:ascii="Times Roman" w:hAnsi="Times Roman"/>
          <w:rtl w:val="0"/>
          <w:lang w:val="en-US"/>
        </w:rPr>
        <w:t>u</w:t>
      </w:r>
      <w:r>
        <w:rPr>
          <w:rFonts w:ascii="Times Roman" w:hAnsi="Times Roman"/>
          <w:rtl w:val="0"/>
          <w:lang w:val="en-US"/>
        </w:rPr>
        <w:t>r in the entertainment domain.</w:t>
      </w:r>
    </w:p>
    <w:sectPr>
      <w:headerReference w:type="default" r:id="rId5"/>
      <w:footerReference w:type="default" r:id="rId6"/>
      <w:pgSz w:w="11900" w:h="16840" w:orient="portrait"/>
      <w:pgMar w:top="720" w:right="720" w:bottom="720" w:left="72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