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and Design Guidelines</w:t>
      </w:r>
    </w:p>
    <w:p>
      <w:r>
        <w:rPr>
          <w:i/>
          <w:sz w:val="18"/>
        </w:rPr>
        <w:t>EVIDENCE cybersecurity investigator | Version 2.3 | Updated 24 September 2026</w:t>
      </w:r>
    </w:p>
    <w:p>
      <w:r>
        <w:rPr>
          <w:b w:val="0"/>
        </w:rPr>
        <w:t>Version 2.3 · EVIDENCE</w:t>
      </w:r>
    </w:p>
    <w:p>
      <w:pPr>
        <w:pStyle w:val="Heading1"/>
      </w:pPr>
      <w:r>
        <w:t>Brand</w:t>
      </w:r>
    </w:p>
    <w:p>
      <w:r>
        <w:rPr>
          <w:b w:val="0"/>
        </w:rPr>
        <w:t>Product name: EVIDENCE. Descriptor: Cybersecurity Evidence Investigator. Voice line: Clarity before action. The name is evidence-first because the product organizes observations and limitations before a security decision.</w:t>
      </w:r>
    </w:p>
    <w:p>
      <w:r>
        <w:rPr>
          <w:b w:val="0"/>
        </w:rPr>
        <w:t>Use EVIDENCE in the wordmark and EVIDENCE cybersecurity evidence investigator in formal descriptions. Do not call it an antivirus, forensic laboratory, guarantee, AI detector or account-recovery service.</w:t>
      </w:r>
    </w:p>
    <w:p>
      <w:pPr>
        <w:pStyle w:val="Heading1"/>
      </w:pPr>
      <w:r>
        <w:t>Mark</w:t>
      </w:r>
    </w:p>
    <w:p>
      <w:pPr>
        <w:keepNext/>
      </w:pPr>
      <w:r>
        <w:drawing>
          <wp:inline xmlns:a="http://schemas.openxmlformats.org/drawingml/2006/main" xmlns:pic="http://schemas.openxmlformats.org/drawingml/2006/picture">
            <wp:extent cx="914400" cy="914400"/>
            <wp:docPr id="1" name="Picture 1" descr="EVIDENCE shield mark"/>
            <wp:cNvGraphicFramePr>
              <a:graphicFrameLocks noChangeAspect="1"/>
            </wp:cNvGraphicFramePr>
            <a:graphic>
              <a:graphicData uri="http://schemas.openxmlformats.org/drawingml/2006/picture">
                <pic:pic>
                  <pic:nvPicPr>
                    <pic:cNvPr id="0" name="brand-shield.png"/>
                    <pic:cNvPicPr/>
                  </pic:nvPicPr>
                  <pic:blipFill>
                    <a:blip r:embed="rId9"/>
                    <a:stretch>
                      <a:fillRect/>
                    </a:stretch>
                  </pic:blipFill>
                  <pic:spPr>
                    <a:xfrm>
                      <a:off x="0" y="0"/>
                      <a:ext cx="914400" cy="914400"/>
                    </a:xfrm>
                    <a:prstGeom prst="rect"/>
                  </pic:spPr>
                </pic:pic>
              </a:graphicData>
            </a:graphic>
          </wp:inline>
        </w:drawing>
      </w:r>
    </w:p>
    <w:p>
      <w:pPr>
        <w:pStyle w:val="Caption"/>
        <w:spacing w:after="200"/>
      </w:pPr>
      <w:r>
        <w:t>EVIDENCE shield mark</w:t>
      </w:r>
    </w:p>
    <w:p>
      <w:r>
        <w:rPr>
          <w:b w:val="0"/>
        </w:rPr>
        <w:t>The primary mark is a simple shield with a check line, used in the navigation rail and favicon. The shield means protection and bounded inspection; the check means “show the evidence”, not “the input is safe”. Keep clear space equal to the shield stroke width. Do not stretch, rotate, add fear imagery or recolor outside the token palette.</w:t>
      </w:r>
    </w:p>
    <w:p>
      <w:r>
        <w:rPr>
          <w:b w:val="0"/>
        </w:rPr>
        <w:t>The website uses a project-authored SVG favicon and Lucide ShieldCheck in navigation. The favicon source is frontend/public/favicon.svg. The transparent light-background, dark-background and monochrome marks are frontend/public/brand/shield-light.svg, shield-dark.svg and shield-mono.svg. Each uses a scalable 64 by 64 viewBox. The PNG shown here is a 512 by 512 documentation export, not the vector master. These project-authored assets do not establish trademark clearance for the name; the operator must assess that before launch. Lucide attribution is retained in third-party-notices.txt.</w:t>
      </w:r>
    </w:p>
    <w:p>
      <w:pPr>
        <w:pStyle w:val="Heading1"/>
      </w:pPr>
      <w:r>
        <w:t>Visual identity</w:t>
      </w:r>
    </w:p>
    <w:p>
      <w:r>
        <w:rPr>
          <w:b w:val="0"/>
        </w:rPr>
        <w:t>Primary green is #12654C in light mode and #8EE2B5 in dark mode. The identity is quiet and editorial: off-white canvas, dark green rail, mint guidance surfaces and deliberate whitespace. Use the unified token set; do not invent one-off colors.</w:t>
      </w:r>
    </w:p>
    <w:p>
      <w:r>
        <w:rPr>
          <w:b w:val="0"/>
        </w:rPr>
        <w:t>Use the approved system type stack. If a new font is proposed, verify web, mobile, embedding, redistribution and commercial-use terms before adding it.</w:t>
      </w:r>
    </w:p>
    <w:p>
      <w:pPr>
        <w:pStyle w:val="Heading1"/>
      </w:pPr>
      <w:r>
        <w:t>Imagery and references</w:t>
      </w:r>
    </w:p>
    <w:p>
      <w:r>
        <w:rPr>
          <w:b w:val="0"/>
        </w:rPr>
        <w:t>Prefer diagrams, evidence cards and native icons over stock fear imagery, hacker clichés and red-warning floods. The shield illustration uses a restrained orbit motif to suggest investigation without implying live protection.</w:t>
      </w:r>
    </w:p>
    <w:p>
      <w:r>
        <w:rPr>
          <w:b w:val="0"/>
        </w:rPr>
        <w:t>Reference qualities, not copied assets: Linear for restrained navigation, GOV.UK for plain-language tasks, Stripe for progressive disclosure and Material Design for target sizes. Do not copy their assets or marks.</w:t>
      </w:r>
    </w:p>
    <w:p>
      <w:pPr>
        <w:pStyle w:val="Heading1"/>
      </w:pPr>
      <w:r>
        <w:t>Content and handoff</w:t>
      </w:r>
    </w:p>
    <w:p>
      <w:r>
        <w:rPr>
          <w:b w:val="0"/>
        </w:rPr>
        <w:t>Use plain verbs such as Check a link, Review the evidence and Delete permanently. Explain uncertainty beside scores. Never use guaranteed, 100% safe, instant or military-grade. Every exported asset needs filename, dimensions, format, source and license. Test logo and text contrast in both themes and at 200 percent zoom.</w:t>
      </w:r>
    </w:p>
    <w:sectPr w:rsidR="00FC693F" w:rsidRPr="0006063C" w:rsidSect="00034616">
      <w:footerReference w:type="default" r:id="rId10"/>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Brand and Design Guidelines</dc:title>
  <dc:subject>Brand and Design Guidelines</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