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Developer Guide and Launch Steps</w:t>
      </w:r>
    </w:p>
    <w:p>
      <w:r>
        <w:rPr>
          <w:i/>
          <w:sz w:val="18"/>
        </w:rPr>
        <w:t>EVIDENCE cybersecurity investigator | Version 2.3 | Updated 24 September 2026</w:t>
      </w:r>
    </w:p>
    <w:p>
      <w:r>
        <w:rPr>
          <w:b w:val="0"/>
        </w:rPr>
        <w:t>Use feature/investigator-v2.2 for this update stream. The three version-2 remote branches were identical before this work; master contains the older SQLite implementation. Do not merge the older implementation over the version-2 architecture without a reviewed migration.</w:t>
      </w:r>
    </w:p>
    <w:p>
      <w:pPr>
        <w:pStyle w:val="Heading1"/>
      </w:pPr>
      <w:r>
        <w:t>Local setup</w:t>
      </w:r>
    </w:p>
    <w:p>
      <w:r>
        <w:rPr>
          <w:b w:val="0"/>
        </w:rPr>
        <w:t>Install Git, Python 3.12 or 3.13 and Node 22. Clone the repository and switch to feature/investigator-v2.2. Work on a dedicated test database. Copy .env.example into backend/.env and frontend/.env.example into frontend/.env; never commit either populated file.</w:t>
      </w:r>
    </w:p>
    <w:p>
      <w:r>
        <w:rPr>
          <w:b w:val="0"/>
        </w:rPr>
        <w:t>From backend, create a virtual environment with python -m venv .venv. Activate it with source .venv/bin/activate on macOS/Linux or .venv\\Scripts\\Activate.ps1 in Windows PowerShell. Run python -m pip install -r requirements-dev.txt.</w:t>
      </w:r>
    </w:p>
    <w:p>
      <w:r>
        <w:rPr>
          <w:b w:val="0"/>
        </w:rPr>
        <w:t>Use the migration-owner PostgreSQL connection only to run python scripts/init_database.py and python scripts/provision_runtime.py. The second command securely prompts for a runtime password. Then replace DATABASE_URL with the restricted runtime connection and set APP_ENV=production to avoid startup DDL when exercising that account. Development mode can initialize schema automatically only when using an authorized migration role.</w:t>
      </w:r>
    </w:p>
    <w:p>
      <w:r>
        <w:rPr>
          <w:b w:val="0"/>
        </w:rPr>
        <w:t>Run python scripts/diagnose_database.py, then uvicorn app.main:app --host 127.0.0.1 --port 8001. In a second terminal, enter frontend, run npm ci and npm run dev. The default UI is http://localhost:5173. Configure both localhost and 127.0.0.1 only when actually used in Supabase redirect settings.</w:t>
      </w:r>
    </w:p>
    <w:p>
      <w:pPr>
        <w:pStyle w:val="Heading1"/>
      </w:pPr>
      <w:r>
        <w:t>Configuration ownership</w:t>
      </w:r>
    </w:p>
    <w:p>
      <w:r>
        <w:rPr>
          <w:b w:val="0"/>
        </w:rPr>
        <w:t>Backend configuration includes DATABASE_URL, APP_ENV, FRONTEND_ORIGIN, SUPABASE_URL, SUPABASE_PUBLISHABLE_KEY, optional provider keys/enable flags, pool sizes and request budgets. Both the backend and browser use a publishable Supabase key; only the backend receives provider secrets and PostgreSQL credentials.</w:t>
      </w:r>
    </w:p>
    <w:p>
      <w:r>
        <w:rPr>
          <w:b w:val="0"/>
        </w:rPr>
        <w:t>Frontend VITE_API_URL, VITE_SUPABASE_URL and VITE_SUPABASE_PUBLISHABLE_KEY are public build values. SITE_URL, SUPPORT_EMAIL, OPERATOR_NAME and LAUNCH_READY prepare public pages after building. LAUNCH_READY=false produces noindex pages and disallows crawling. True requires usable HTTPS settings and public operator/contact details. A pre-bundle allow-list accepts only the three documented VITE variables, rejects privileged keys and origin credentials, and a post-build scan checks emitted files. No scanner is an exhaustive guarantee.</w:t>
      </w:r>
    </w:p>
    <w:p>
      <w:pPr>
        <w:pStyle w:val="Heading1"/>
      </w:pPr>
      <w:r>
        <w:t>Code workflow</w:t>
      </w:r>
    </w:p>
    <w:p>
      <w:r>
        <w:rPr>
          <w:b w:val="0"/>
        </w:rPr>
        <w:t>Add category-specific interface behavior to InvestigationForm and category metadata, not to every result component. Keep API calls in services/api.js. Keep private data in memory; do not persist evidence in localStorage. Sign-out or account identity changes must clear results/history and invalidate in-flight responses.</w:t>
      </w:r>
    </w:p>
    <w:p>
      <w:r>
        <w:rPr>
          <w:b w:val="0"/>
        </w:rPr>
        <w:t>Implement extraction inside parsers, deterministic rules inside detectors/services and external HTTP calls behind integrations/tools. Every new parser must bound expansion, extraction and nesting. Treat filenames, document fields, URLs and AI output as untrusted. Never render evidence with innerHTML or execute attachments.</w:t>
      </w:r>
    </w:p>
    <w:p>
      <w:r>
        <w:rPr>
          <w:b w:val="0"/>
        </w:rPr>
        <w:t>All user data access must enter user_connection(owner_id). History summaries return only 160 content characters and selected metadata; full evidence loads on case selection. Do not obtain a raw owner connection from a request handler. New child tables need foreign keys, indexes, RLS and a policy tied to a visible owner parent. Update the schema, read/write hydration, fixtures and negative cross-user tests together. Never rely on CORS as authorization.</w:t>
      </w:r>
    </w:p>
    <w:p>
      <w:pPr>
        <w:pStyle w:val="Heading1"/>
      </w:pPr>
      <w:r>
        <w:t>Tests and release checks</w:t>
      </w:r>
    </w:p>
    <w:p>
      <w:r>
        <w:rPr>
          <w:b w:val="0"/>
        </w:rPr>
        <w:t>Run python -m pytest -q in backend. In frontend run npm test, npm run lint, npm run build and npm run test:browser. Install its browser once with npx playwright install chromium. The browser suite uses synthetic accounts and mocked API responses, not live credentials. To run adapter integration tests, use a disposable PostgreSQL instance, set DATABASE_URL to its migration-capable account and RUN_POSTGRES_TESTS=1. The suite initializes schema and creates synthetic cases. GitHub Actions provisions PostgreSQL 16 for this purpose.</w:t>
      </w:r>
    </w:p>
    <w:p>
      <w:r>
        <w:rPr>
          <w:b w:val="0"/>
        </w:rPr>
        <w:t>An optional embedded PostgreSQL RLS check is in scripts/test_rls_embedded.mjs. Install @electric-sql/pglite outside the production dependency tree and pass its module path to that script from backend. It validates policy behavior without a managed Supabase service; it does not replace the live adapter or deployment tests.</w:t>
      </w:r>
    </w:p>
    <w:p>
      <w:r>
        <w:rPr>
          <w:b w:val="0"/>
        </w:rPr>
        <w:t>backend/smoke_test.py uses EVIDENCE_BASE_URL and prompts privately for a short-lived token from a disposable confirmed account. --check-isolation also prompts for a different account’s token. Obtain the token locally through the browser network tools on your own test session; never paste it in chat, a ticket or a committed file. The smoke script creates synthetic cases and deletes only the cases it created.</w:t>
      </w:r>
    </w:p>
    <w:p>
      <w:pPr>
        <w:pStyle w:val="Heading1"/>
      </w:pPr>
      <w:r>
        <w:t>Debugging and maintenance</w:t>
      </w:r>
    </w:p>
    <w:p>
      <w:r>
        <w:rPr>
          <w:b w:val="0"/>
        </w:rPr>
        <w:t>A successful /live only proves the process runs. A failing /health points to database connectivity, schema or restricted-role readiness. Check the project state, IPv4-compatible session-pooler address, URL-encoded password, TLS and completed schema setup. Keep error logs free of raw evidence, bearer tokens and database URLs.</w:t>
      </w:r>
    </w:p>
    <w:p>
      <w:r>
        <w:rPr>
          <w:b w:val="0"/>
        </w:rPr>
        <w:t>The default rate limiter is per process. Keep one worker for the free beta; a multi-worker or multi-replica deployment needs shared IP throttling. PostgreSQL budgets remain shared. The browser's cancellation cannot forcibly stop a running Python parser; avoid automatic retries and consider isolated jobs before larger traffic.</w:t>
      </w:r>
    </w:p>
    <w:p>
      <w:r>
        <w:rPr>
          <w:b w:val="0"/>
        </w:rPr>
        <w:t>Keep dependencies current, review vulnerability notices, back up before schema changes and perform a restore drill. Document schema evolution rather than accumulating ad hoc production SQL. The current idempotent schema initializer is a bootstrap mechanism; ordered migrations should be introduced for breaking changes.</w:t>
      </w:r>
    </w:p>
    <w:p>
      <w:pPr>
        <w:pStyle w:val="Heading1"/>
      </w:pPr>
      <w:r>
        <w:t>Administrative deletion</w:t>
      </w:r>
    </w:p>
    <w:p>
      <w:r>
        <w:rPr>
          <w:b w:val="0"/>
        </w:rPr>
        <w:t>Verify the requester's ownership through the published private support channel. Disable/delete the Supabase Auth identity and stop new work for that identity, let already-admitted requests complete, then remove investigations for that UUID using scripts/delete_user_data.py. Its default mode prints counts only; --execute requires typing the verified UUID. It refuses deletion while the Supabase Auth identity still exists. Remove matching usage counters and record a minimal completion audit. Explain backup/provider retention honestly. Do not ask users for credentials or publicly share their evidence.</w:t>
      </w:r>
    </w:p>
    <w:p>
      <w:pPr>
        <w:pStyle w:val="Heading1"/>
      </w:pPr>
      <w:r>
        <w:t>Owner database testing and deployment sequence</w:t>
      </w:r>
    </w:p>
    <w:p>
      <w:r>
        <w:rPr>
          <w:b w:val="0"/>
        </w:rPr>
        <w:t>Use this sequence for the EVIDENCE v2.3 website. The selected branch is feature/investigator-v2.2. A free beta can use Render static hosting, a single free Render API and Supabase Free PostgreSQL/Auth within their quotas. Public email signup needs an SMTP service; its free allowance and sender-domain requirements must be checked separately. A forever-free, always-on production service is not promised.</w:t>
      </w:r>
    </w:p>
    <w:p>
      <w:pPr>
        <w:pStyle w:val="Heading1"/>
      </w:pPr>
      <w:r>
        <w:t>Step 1 Install the development tools</w:t>
      </w:r>
    </w:p>
    <w:p>
      <w:r>
        <w:rPr>
          <w:b w:val="0"/>
        </w:rPr>
        <w:t>On Windows, download Git from https://git-scm.com/downloads, Python 3.12 or 3.13 from https://www.python.org/downloads/ and Node 22 from https://nodejs.org/. During Python setup enable its PATH option. Open a new PowerShell window after installation.</w:t>
      </w:r>
    </w:p>
    <w:p>
      <w:pPr>
        <w:pStyle w:val="NoSpacing"/>
        <w:spacing w:after="20"/>
      </w:pPr>
      <w:r>
        <w:rPr>
          <w:rFonts w:ascii="DejaVu Sans Mono" w:hAnsi="DejaVu Sans Mono"/>
          <w:sz w:val="18"/>
        </w:rPr>
        <w:t>git --version</w:t>
      </w:r>
    </w:p>
    <w:p>
      <w:pPr>
        <w:pStyle w:val="NoSpacing"/>
        <w:spacing w:after="20"/>
      </w:pPr>
      <w:r>
        <w:rPr>
          <w:rFonts w:ascii="DejaVu Sans Mono" w:hAnsi="DejaVu Sans Mono"/>
          <w:sz w:val="18"/>
        </w:rPr>
        <w:t>py --version</w:t>
      </w:r>
    </w:p>
    <w:p>
      <w:pPr>
        <w:pStyle w:val="NoSpacing"/>
        <w:spacing w:after="20"/>
      </w:pPr>
      <w:r>
        <w:rPr>
          <w:rFonts w:ascii="DejaVu Sans Mono" w:hAnsi="DejaVu Sans Mono"/>
          <w:sz w:val="18"/>
        </w:rPr>
        <w:t>node --version</w:t>
      </w:r>
    </w:p>
    <w:p>
      <w:pPr>
        <w:pStyle w:val="NoSpacing"/>
        <w:spacing w:after="20"/>
      </w:pPr>
      <w:r>
        <w:rPr>
          <w:rFonts w:ascii="DejaVu Sans Mono" w:hAnsi="DejaVu Sans Mono"/>
          <w:sz w:val="18"/>
        </w:rPr>
        <w:t>npm --version</w:t>
      </w:r>
    </w:p>
    <w:p>
      <w:pPr>
        <w:pStyle w:val="NoSpacing"/>
        <w:spacing w:after="20"/>
      </w:pPr>
      <w:r>
        <w:rPr>
          <w:rFonts w:ascii="DejaVu Sans Mono" w:hAnsi="DejaVu Sans Mono"/>
          <w:sz w:val="18"/>
        </w:rPr>
        <w:t>git clone https://github.com/HRITHIKA-NAIR/cybersecurity-evidence-investigator.git</w:t>
      </w:r>
    </w:p>
    <w:p>
      <w:pPr>
        <w:pStyle w:val="NoSpacing"/>
        <w:spacing w:after="20"/>
      </w:pPr>
      <w:r>
        <w:rPr>
          <w:rFonts w:ascii="DejaVu Sans Mono" w:hAnsi="DejaVu Sans Mono"/>
          <w:sz w:val="18"/>
        </w:rPr>
        <w:t>cd cybersecurity-evidence-investigator</w:t>
      </w:r>
    </w:p>
    <w:p>
      <w:pPr>
        <w:pStyle w:val="NoSpacing"/>
        <w:spacing w:after="20"/>
      </w:pPr>
      <w:r>
        <w:rPr>
          <w:rFonts w:ascii="DejaVu Sans Mono" w:hAnsi="DejaVu Sans Mono"/>
          <w:sz w:val="18"/>
        </w:rPr>
        <w:t>git fetch origin</w:t>
      </w:r>
    </w:p>
    <w:p>
      <w:pPr>
        <w:pStyle w:val="NoSpacing"/>
        <w:spacing w:after="20"/>
      </w:pPr>
      <w:r>
        <w:rPr>
          <w:rFonts w:ascii="DejaVu Sans Mono" w:hAnsi="DejaVu Sans Mono"/>
          <w:sz w:val="18"/>
        </w:rPr>
        <w:t>git switch feature/investigator-v2.2</w:t>
      </w:r>
    </w:p>
    <w:p>
      <w:pPr>
        <w:pStyle w:val="NoSpacing"/>
        <w:spacing w:after="20"/>
      </w:pPr>
      <w:r>
        <w:rPr>
          <w:rFonts w:ascii="DejaVu Sans Mono" w:hAnsi="DejaVu Sans Mono"/>
          <w:sz w:val="18"/>
        </w:rPr>
        <w:t>Copy-Item .env.example backend/.env</w:t>
      </w:r>
    </w:p>
    <w:p>
      <w:pPr>
        <w:pStyle w:val="NoSpacing"/>
        <w:spacing w:after="20"/>
      </w:pPr>
      <w:r>
        <w:rPr>
          <w:rFonts w:ascii="DejaVu Sans Mono" w:hAnsi="DejaVu Sans Mono"/>
          <w:sz w:val="18"/>
        </w:rPr>
        <w:t>Copy-Item frontend/.env.example frontend/.env</w:t>
      </w:r>
    </w:p>
    <w:p>
      <w:pPr>
        <w:pStyle w:val="NoSpacing"/>
        <w:spacing w:after="20"/>
      </w:pPr>
      <w:r>
        <w:rPr>
          <w:rFonts w:ascii="DejaVu Sans Mono" w:hAnsi="DejaVu Sans Mono"/>
          <w:sz w:val="18"/>
        </w:rPr>
        <w:t>py -3.12 -m venv backend/.venv</w:t>
      </w:r>
    </w:p>
    <w:p>
      <w:pPr>
        <w:pStyle w:val="NoSpacing"/>
        <w:spacing w:after="20"/>
      </w:pPr>
      <w:r>
        <w:rPr>
          <w:rFonts w:ascii="DejaVu Sans Mono" w:hAnsi="DejaVu Sans Mono"/>
          <w:sz w:val="18"/>
        </w:rPr>
        <w:t>backend/.venv/Scripts/python.exe -m pip install -r backend/requirements-dev.txt</w:t>
      </w:r>
    </w:p>
    <w:p>
      <w:pPr>
        <w:spacing w:after="20"/>
      </w:pPr>
    </w:p>
    <w:p>
      <w:r>
        <w:rPr>
          <w:b w:val="0"/>
        </w:rPr>
        <w:t>If Python 3.13 is installed, replace py -3.12 with py -3.13. Existing checkouts should use git status first and preserve uncommitted work. Do not overwrite populated .env files. The explicit virtual-environment Python path avoids needing to change PowerShell execution policy.</w:t>
      </w:r>
    </w:p>
    <w:p>
      <w:pPr>
        <w:pStyle w:val="Heading1"/>
      </w:pPr>
      <w:r>
        <w:t>Step 2 Locate or create the correct Supabase project</w:t>
      </w:r>
    </w:p>
    <w:p>
      <w:r>
        <w:rPr>
          <w:b w:val="0"/>
        </w:rPr>
        <w:t>Open https://supabase.com/dashboard and sign in with the account that owns this project. Check the organization selector before creating anything. The connected account exposed no projects during this audit, so confirm whether an existing project is in another organization or account. If none exists, create a project on the Free plan, choose the appropriate region, and save the database password securely.</w:t>
      </w:r>
    </w:p>
    <w:p>
      <w:r>
        <w:rPr>
          <w:b w:val="0"/>
        </w:rPr>
        <w:t>Open the project and its Connect dialog. Choose the IPv4-compatible Session pooler for a long-lived Render backend and copy the actual connection URI. Do not guess the host or project reference. Encode reserved password characters correctly in a URI. Place this migration-owner URI in DATABASE_URL in backend/.env only. Never paste it into the chat or frontend settings.</w:t>
      </w:r>
    </w:p>
    <w:p>
      <w:r>
        <w:rPr>
          <w:b w:val="0"/>
        </w:rPr>
        <w:t>Record the project HTTPS URL and publishable key from the dashboard. Set SUPABASE_URL and SUPABASE_PUBLISHABLE_KEY in backend/.env, and VITE_SUPABASE_URL and VITE_SUPABASE_PUBLISHABLE_KEY in frontend/.env. The publishable key is public by design. Never substitute a secret or service-role key.</w:t>
      </w:r>
    </w:p>
    <w:p>
      <w:pPr>
        <w:pStyle w:val="Heading1"/>
      </w:pPr>
      <w:r>
        <w:t>Step 3 Bootstrap and restrict the database</w:t>
      </w:r>
    </w:p>
    <w:p>
      <w:r>
        <w:rPr>
          <w:b w:val="0"/>
        </w:rPr>
        <w:t>Run these commands from the repository root using the migration-owner connection:</w:t>
      </w:r>
    </w:p>
    <w:p>
      <w:pPr>
        <w:pStyle w:val="NoSpacing"/>
        <w:spacing w:after="20"/>
      </w:pPr>
      <w:r>
        <w:rPr>
          <w:rFonts w:ascii="DejaVu Sans Mono" w:hAnsi="DejaVu Sans Mono"/>
          <w:sz w:val="18"/>
        </w:rPr>
        <w:t>cd backend</w:t>
      </w:r>
    </w:p>
    <w:p>
      <w:pPr>
        <w:pStyle w:val="NoSpacing"/>
        <w:spacing w:after="20"/>
      </w:pPr>
      <w:r>
        <w:rPr>
          <w:rFonts w:ascii="DejaVu Sans Mono" w:hAnsi="DejaVu Sans Mono"/>
          <w:sz w:val="18"/>
        </w:rPr>
        <w:t>.venv/Scripts/python.exe scripts/diagnose_database.py</w:t>
      </w:r>
    </w:p>
    <w:p>
      <w:pPr>
        <w:pStyle w:val="NoSpacing"/>
        <w:spacing w:after="20"/>
      </w:pPr>
      <w:r>
        <w:rPr>
          <w:rFonts w:ascii="DejaVu Sans Mono" w:hAnsi="DejaVu Sans Mono"/>
          <w:sz w:val="18"/>
        </w:rPr>
        <w:t>.venv/Scripts/python.exe scripts/init_database.py</w:t>
      </w:r>
    </w:p>
    <w:p>
      <w:pPr>
        <w:pStyle w:val="NoSpacing"/>
        <w:spacing w:after="20"/>
      </w:pPr>
      <w:r>
        <w:rPr>
          <w:rFonts w:ascii="DejaVu Sans Mono" w:hAnsi="DejaVu Sans Mono"/>
          <w:sz w:val="18"/>
        </w:rPr>
        <w:t>.venv/Scripts/python.exe scripts/provision_runtime.py</w:t>
      </w:r>
    </w:p>
    <w:p>
      <w:pPr>
        <w:spacing w:after="20"/>
      </w:pPr>
    </w:p>
    <w:p>
      <w:r>
        <w:rPr>
          <w:b w:val="0"/>
        </w:rPr>
        <w:t>Before initialization the diagnostic may report that the schema is missing. That is expected for a new project. Initialization creates ten application tables, indexes, RLS and restricted roles. Provisioning prompts privately for a unique runtime password of at least 24 characters.</w:t>
      </w:r>
    </w:p>
    <w:p>
      <w:r>
        <w:rPr>
          <w:b w:val="0"/>
        </w:rPr>
        <w:t>Replace backend/.env DATABASE_URL with a connection for evidence_runtime. For a Supabase shared pooler, the username includes the project reference, commonly evidence_runtime.PROJECT_REFERENCE. Confirm the actual custom-role connection format in Supabase rather than reusing the postgres password. Set APP_ENV=production and FRONTEND_ORIGIN=http://localhost:5173 for this restricted local test. Production mode prevents startup schema changes and activates the strict runtime-role health gate.</w:t>
      </w:r>
    </w:p>
    <w:p>
      <w:pPr>
        <w:pStyle w:val="NoSpacing"/>
        <w:spacing w:after="20"/>
      </w:pPr>
      <w:r>
        <w:rPr>
          <w:rFonts w:ascii="DejaVu Sans Mono" w:hAnsi="DejaVu Sans Mono"/>
          <w:sz w:val="18"/>
        </w:rPr>
        <w:t>.venv/Scripts/python.exe scripts/diagnose_database.py --readiness</w:t>
      </w:r>
    </w:p>
    <w:p>
      <w:pPr>
        <w:pStyle w:val="NoSpacing"/>
        <w:spacing w:after="20"/>
      </w:pPr>
      <w:r>
        <w:rPr>
          <w:rFonts w:ascii="DejaVu Sans Mono" w:hAnsi="DejaVu Sans Mono"/>
          <w:sz w:val="18"/>
        </w:rPr>
        <w:t>.venv/Scripts/python.exe -m uvicorn app.main:app --host 127.0.0.1 --port 8001</w:t>
      </w:r>
    </w:p>
    <w:p>
      <w:pPr>
        <w:spacing w:after="20"/>
      </w:pPr>
    </w:p>
    <w:p>
      <w:r>
        <w:rPr>
          <w:b w:val="0"/>
        </w:rPr>
        <w:t>Open http://127.0.0.1:8001/live and http://127.0.0.1:8001/health in your browser. Both must return HTTP 200; health must report database ok. A 503 can mean missing configuration, a paused project, wrong password, DNS/IPv4 connectivity, absent schema/policies or an overprivileged/unusable runtime login. Keep the migration-owner credential outside the deployed API.</w:t>
      </w:r>
    </w:p>
    <w:p>
      <w:r>
        <w:rPr>
          <w:b w:val="0"/>
        </w:rPr>
        <w:t>In Supabase Table Editor confirm investigations, artifacts, evidence_items, attack_findings, finding_evidence, attack_chain_stages, email_metadata, redirect_hops, challenge_results and usage_budgets exist. Run the dashboard Security Advisor. All application tables should have RLS; anon/authenticated browser roles should have no investigation-table grants. Supabase system schemas are managed by Supabase and are not replaced by this initializer.</w:t>
      </w:r>
    </w:p>
    <w:p>
      <w:pPr>
        <w:pStyle w:val="Heading1"/>
      </w:pPr>
      <w:r>
        <w:t>Step 4 Configure authentication and email</w:t>
      </w:r>
    </w:p>
    <w:p>
      <w:r>
        <w:rPr>
          <w:b w:val="0"/>
        </w:rPr>
        <w:t>In Supabase Authentication enable email/password sign-in and email confirmation. Set the minimum password length to at least 12 in the provider settings; the browser constraint alone is not enforcement. Disable anonymous sign-ins. Configure the exact local redirect URL http://localhost:5173/ for testing; add the final HTTPS site URL before launch. Use a short practical JWT lifetime and test refresh behavior. Sign-out does not instantly invalidate all previously issued access tokens.</w:t>
      </w:r>
    </w:p>
    <w:p>
      <w:r>
        <w:rPr>
          <w:b w:val="0"/>
        </w:rPr>
        <w:t>Open the Auth SMTP configuration. Choose an SMTP provider that supports a verified sender and whose free allowance fits your test volume. Enter its host, port, sender name/address, username and password into Supabase only. Follow the provider’s domain/sender verification steps and test confirmation and password recovery to two email addresses outside the Supabase project team. Supabase’s default SMTP is restricted to team addresses and is not the public-launch email service.</w:t>
      </w:r>
    </w:p>
    <w:p>
      <w:r>
        <w:rPr>
          <w:b w:val="0"/>
        </w:rPr>
        <w:t>Configure Supabase Auth rate limits in the dashboard. Review bot protection before opening registration at scale. If enabling CAPTCHA in Supabase, add its client token flow before deployment; turning it on without that UI can break signup. Never disable email confirmation to conceal a delivery problem.</w:t>
      </w:r>
    </w:p>
    <w:p>
      <w:pPr>
        <w:pStyle w:val="Heading1"/>
      </w:pPr>
      <w:r>
        <w:t>Step 5 Run local checks</w:t>
      </w:r>
    </w:p>
    <w:p>
      <w:r>
        <w:rPr>
          <w:b w:val="0"/>
        </w:rPr>
        <w:t>Keep the API terminal open. In another PowerShell window at the repository root:</w:t>
      </w:r>
    </w:p>
    <w:p>
      <w:pPr>
        <w:pStyle w:val="NoSpacing"/>
        <w:spacing w:after="20"/>
      </w:pPr>
      <w:r>
        <w:rPr>
          <w:rFonts w:ascii="DejaVu Sans Mono" w:hAnsi="DejaVu Sans Mono"/>
          <w:sz w:val="18"/>
        </w:rPr>
        <w:t>cd frontend</w:t>
      </w:r>
    </w:p>
    <w:p>
      <w:pPr>
        <w:pStyle w:val="NoSpacing"/>
        <w:spacing w:after="20"/>
      </w:pPr>
      <w:r>
        <w:rPr>
          <w:rFonts w:ascii="DejaVu Sans Mono" w:hAnsi="DejaVu Sans Mono"/>
          <w:sz w:val="18"/>
        </w:rPr>
        <w:t>npm ci</w:t>
      </w:r>
    </w:p>
    <w:p>
      <w:pPr>
        <w:pStyle w:val="NoSpacing"/>
        <w:spacing w:after="20"/>
      </w:pPr>
      <w:r>
        <w:rPr>
          <w:rFonts w:ascii="DejaVu Sans Mono" w:hAnsi="DejaVu Sans Mono"/>
          <w:sz w:val="18"/>
        </w:rPr>
        <w:t>npm test</w:t>
      </w:r>
    </w:p>
    <w:p>
      <w:pPr>
        <w:pStyle w:val="NoSpacing"/>
        <w:spacing w:after="20"/>
      </w:pPr>
      <w:r>
        <w:rPr>
          <w:rFonts w:ascii="DejaVu Sans Mono" w:hAnsi="DejaVu Sans Mono"/>
          <w:sz w:val="18"/>
        </w:rPr>
        <w:t>npm run lint</w:t>
      </w:r>
    </w:p>
    <w:p>
      <w:pPr>
        <w:pStyle w:val="NoSpacing"/>
        <w:spacing w:after="20"/>
      </w:pPr>
      <w:r>
        <w:rPr>
          <w:rFonts w:ascii="DejaVu Sans Mono" w:hAnsi="DejaVu Sans Mono"/>
          <w:sz w:val="18"/>
        </w:rPr>
        <w:t>npm run build</w:t>
      </w:r>
    </w:p>
    <w:p>
      <w:pPr>
        <w:pStyle w:val="NoSpacing"/>
        <w:spacing w:after="20"/>
      </w:pPr>
      <w:r>
        <w:rPr>
          <w:rFonts w:ascii="DejaVu Sans Mono" w:hAnsi="DejaVu Sans Mono"/>
          <w:sz w:val="18"/>
        </w:rPr>
        <w:t>npx playwright install chromium</w:t>
      </w:r>
    </w:p>
    <w:p>
      <w:pPr>
        <w:pStyle w:val="NoSpacing"/>
        <w:spacing w:after="20"/>
      </w:pPr>
      <w:r>
        <w:rPr>
          <w:rFonts w:ascii="DejaVu Sans Mono" w:hAnsi="DejaVu Sans Mono"/>
          <w:sz w:val="18"/>
        </w:rPr>
        <w:t>npm run test:browser</w:t>
      </w:r>
    </w:p>
    <w:p>
      <w:pPr>
        <w:pStyle w:val="NoSpacing"/>
        <w:spacing w:after="20"/>
      </w:pPr>
      <w:r>
        <w:rPr>
          <w:rFonts w:ascii="DejaVu Sans Mono" w:hAnsi="DejaVu Sans Mono"/>
          <w:sz w:val="18"/>
        </w:rPr>
        <w:t>npm run dev</w:t>
      </w:r>
    </w:p>
    <w:p>
      <w:pPr>
        <w:spacing w:after="20"/>
      </w:pPr>
    </w:p>
    <w:p>
      <w:r>
        <w:rPr>
          <w:b w:val="0"/>
        </w:rPr>
        <w:t>Open http://localhost:5173. Set VITE_API_URL=http://127.0.0.1:8001 in frontend/.env and restart the dev server after changing environment variables. Create and confirm two disposable adult test accounts. Test login, reset, logout, both themes and the four investigation categories using harmless synthetic evidence.</w:t>
      </w:r>
    </w:p>
    <w:p>
      <w:r>
        <w:rPr>
          <w:b w:val="0"/>
        </w:rPr>
        <w:t>From backend, run .venv/Scripts/python.exe -m pytest -q. Live tests are opt-in. To run the PostgreSQL integration test, point DATABASE_URL at a disposable test database with a migration-capable role, set RUN_POSTGRES_TESTS=1 and run the test below. Never point routine integration tests at production data.</w:t>
      </w:r>
    </w:p>
    <w:p>
      <w:pPr>
        <w:pStyle w:val="NoSpacing"/>
        <w:spacing w:after="20"/>
      </w:pPr>
      <w:r>
        <w:rPr>
          <w:rFonts w:ascii="DejaVu Sans Mono" w:hAnsi="DejaVu Sans Mono"/>
          <w:sz w:val="18"/>
        </w:rPr>
        <w:t>$env:RUN_POSTGRES_TESTS="1"</w:t>
      </w:r>
    </w:p>
    <w:p>
      <w:pPr>
        <w:pStyle w:val="NoSpacing"/>
        <w:spacing w:after="20"/>
      </w:pPr>
      <w:r>
        <w:rPr>
          <w:rFonts w:ascii="DejaVu Sans Mono" w:hAnsi="DejaVu Sans Mono"/>
          <w:sz w:val="18"/>
        </w:rPr>
        <w:t>.venv/Scripts/python.exe -m pytest tests/test_postgres_integration.py -q</w:t>
      </w:r>
    </w:p>
    <w:p>
      <w:pPr>
        <w:pStyle w:val="NoSpacing"/>
        <w:spacing w:after="20"/>
      </w:pPr>
      <w:r>
        <w:rPr>
          <w:rFonts w:ascii="DejaVu Sans Mono" w:hAnsi="DejaVu Sans Mono"/>
          <w:sz w:val="18"/>
        </w:rPr>
        <w:t>Remove-Item Env:RUN_POSTGRES_TESTS</w:t>
      </w:r>
    </w:p>
    <w:p>
      <w:pPr>
        <w:spacing w:after="20"/>
      </w:pPr>
    </w:p>
    <w:p>
      <w:r>
        <w:rPr>
          <w:b w:val="0"/>
        </w:rPr>
        <w:t>Restore the restricted runtime configuration afterward. GitHub Actions also provisions disposable PostgreSQL 16 for the adapter test. The browser automation uses mocked Auth/API responses; the next step is the real service test.</w:t>
      </w:r>
    </w:p>
    <w:p>
      <w:pPr>
        <w:pStyle w:val="Heading1"/>
      </w:pPr>
      <w:r>
        <w:t>Step 6 Run the real two account smoke test</w:t>
      </w:r>
    </w:p>
    <w:p>
      <w:r>
        <w:rPr>
          <w:b w:val="0"/>
        </w:rPr>
        <w:t>Sign in as account A and inspect one authorized API request in the browser’s developer tools Network tab. Copy its short-lived Bearer token privately. Obtain the same from account B in a separate browser profile. Do not use another person’s account, include the Bearer prefix, store tokens in source control or post them in a support ticket.</w:t>
      </w:r>
    </w:p>
    <w:p>
      <w:pPr>
        <w:pStyle w:val="NoSpacing"/>
        <w:spacing w:after="20"/>
      </w:pPr>
      <w:r>
        <w:rPr>
          <w:rFonts w:ascii="DejaVu Sans Mono" w:hAnsi="DejaVu Sans Mono"/>
          <w:sz w:val="18"/>
        </w:rPr>
        <w:t>cd backend</w:t>
      </w:r>
    </w:p>
    <w:p>
      <w:pPr>
        <w:pStyle w:val="NoSpacing"/>
        <w:spacing w:after="20"/>
      </w:pPr>
      <w:r>
        <w:rPr>
          <w:rFonts w:ascii="DejaVu Sans Mono" w:hAnsi="DejaVu Sans Mono"/>
          <w:sz w:val="18"/>
        </w:rPr>
        <w:t>$env:EVIDENCE_BASE_URL="http://127.0.0.1:8001"</w:t>
      </w:r>
    </w:p>
    <w:p>
      <w:pPr>
        <w:pStyle w:val="NoSpacing"/>
        <w:spacing w:after="20"/>
      </w:pPr>
      <w:r>
        <w:rPr>
          <w:rFonts w:ascii="DejaVu Sans Mono" w:hAnsi="DejaVu Sans Mono"/>
          <w:sz w:val="18"/>
        </w:rPr>
        <w:t>.venv/Scripts/python.exe smoke_test.py --check-isolation</w:t>
      </w:r>
    </w:p>
    <w:p>
      <w:pPr>
        <w:pStyle w:val="NoSpacing"/>
        <w:spacing w:after="20"/>
      </w:pPr>
      <w:r>
        <w:rPr>
          <w:rFonts w:ascii="DejaVu Sans Mono" w:hAnsi="DejaVu Sans Mono"/>
          <w:sz w:val="18"/>
        </w:rPr>
        <w:t>Remove-Item Env:EVIDENCE_BASE_URL</w:t>
      </w:r>
    </w:p>
    <w:p>
      <w:pPr>
        <w:spacing w:after="20"/>
      </w:pPr>
    </w:p>
    <w:p>
      <w:r>
        <w:rPr>
          <w:b w:val="0"/>
        </w:rPr>
        <w:t>The script prompts privately for the two tokens, creates synthetic text/file cases, checks that B cannot list/read/review/delete A’s cases, tests review, and cleans up its own cases. It consumes analysis allowances. If it fails, investigate the actual error; do not weaken RLS or raise quotas solely to hide a defect.</w:t>
      </w:r>
    </w:p>
    <w:p>
      <w:pPr>
        <w:pStyle w:val="Heading1"/>
      </w:pPr>
      <w:r>
        <w:t>Step 7 Prepare free hosting</w:t>
      </w:r>
    </w:p>
    <w:p>
      <w:r>
        <w:rPr>
          <w:b w:val="0"/>
        </w:rPr>
        <w:t>Open https://dashboard.render.com and connect the repository. Use render.yaml as the blueprint and keep both services on feature/investigator-v2.2. The API uses the Free plan; the frontend is a static site. Keep automatic deployment off during the first controlled release. Do not create Render Free PostgreSQL as the long-term database; this design uses Supabase.</w:t>
      </w:r>
    </w:p>
    <w:p>
      <w:r>
        <w:rPr>
          <w:b w:val="0"/>
        </w:rPr>
        <w:t>For the API set APP_ENV=production, the restricted DATABASE_URL, SUPABASE_URL, SUPABASE_PUBLISHABLE_KEY and the final frontend FRONTEND_ORIGIN. Keep ENABLE_GEMINI=false and ENABLE_VIRUSTOTAL=false. Set DAILY_ANALYSIS_LIMIT=50, USER_DAILY_ANALYSIS_LIMIT=10 and MAX_INFLIGHT_ANALYSES=2 initially. Pool defaults are min 1, max 5 and max waiting 20. Keep one worker.</w:t>
      </w:r>
    </w:p>
    <w:p>
      <w:r>
        <w:rPr>
          <w:b w:val="0"/>
        </w:rPr>
        <w:t>API root directory is backend; build is pip install -r requirements.txt; start is uvicorn app.main:app --host 0.0.0.0 --port $PORT. Render’s liveness probe is /live; manually require /health before accepting the release. Inspect the proxy chain and set Uvicorn’s forwarded-header trust only to actual trusted proxy addresses. Do not blindly set a wildcard for an API reachable outside that proxy. Without trusted forwarding, the IP limiter may group clients behind a proxy; daily per-user quotas still apply.</w:t>
      </w:r>
    </w:p>
    <w:p>
      <w:r>
        <w:rPr>
          <w:b w:val="0"/>
        </w:rPr>
        <w:t>For the static site use root frontend, build npm ci &amp;&amp; npm run build, publish dist. Set VITE_API_URL, VITE_SUPABASE_URL and VITE_SUPABASE_PUBLISHABLE_KEY to the deployed HTTPS endpoints/public key. Set SITE_URL to the exact frontend origin, SUPPORT_EMAIL to a monitored address, OPERATOR_NAME to the actual operator and LAUNCH_READY=false initially. HTTPS on the provided onrender.com address avoids needing to buy a custom domain just for hosting.</w:t>
      </w:r>
    </w:p>
    <w:p>
      <w:pPr>
        <w:pStyle w:val="Heading1"/>
      </w:pPr>
      <w:r>
        <w:t>Step 8 Verify the deployed beta</w:t>
      </w:r>
    </w:p>
    <w:p>
      <w:r>
        <w:rPr>
          <w:b w:val="0"/>
        </w:rPr>
        <w:t>Add the final HTTPS site URL to Supabase Auth’s Site URL and redirect allow-list. Confirm the frontend origin matches backend CORS. If using custom domains, update the Content-Security-Policy connect-src entries in render.yaml to the exact API/Auth origins. The default policy permits Render and Supabase hosts; narrow it to actual hosts once chosen.</w:t>
      </w:r>
    </w:p>
    <w:p>
      <w:r>
        <w:rPr>
          <w:b w:val="0"/>
        </w:rPr>
        <w:t>Visit deployed /live and /health. Repeat the account flows and the two-account smoke test with EVIDENCE_BASE_URL set to the deployed API. Check previews remain noindex, all public pages have the correct contact/operator, private content is not embedded in HTML or URLs, deletion works and history survives an API restart. Test a real phone, keyboard, screen reader and browser zoom. Free API cold starts can be slow; the UI provides an honest waiting state.</w:t>
      </w:r>
    </w:p>
    <w:p>
      <w:pPr>
        <w:pStyle w:val="Heading1"/>
      </w:pPr>
      <w:r>
        <w:t>Step 9 Complete the launch review</w:t>
      </w:r>
    </w:p>
    <w:p>
      <w:r>
        <w:rPr>
          <w:b w:val="0"/>
        </w:rPr>
        <w:t>Review the policy applicability matrix in REPOSITORY_AUDIT.md and the developer guide. Confirm target countries and legal responsibility, retention/log/backup settings, support handling and supplier terms. Shipping is inapplicable with no physical goods. Marketing unsubscribe is inapplicable until there are marketing subscriptions. There is no session replay or video. Age declaration is an adult beta scope control, not identity verification or proof of all legal compliance.</w:t>
      </w:r>
    </w:p>
    <w:p>
      <w:r>
        <w:rPr>
          <w:b w:val="0"/>
        </w:rPr>
        <w:t>Do not enable the unpaid Gemini integration for personal/confidential evidence. Its age/region rules must also be considered. VirusTotal’s public API has licensing and business-use restrictions. The default free beta retains deterministic evidence checks with these providers disabled, and AI synthesis may be unavailable or inconclusive.</w:t>
      </w:r>
    </w:p>
    <w:p>
      <w:r>
        <w:rPr>
          <w:b w:val="0"/>
        </w:rPr>
        <w:t>When all gates pass, change LAUNCH_READY=true and rebuild/redeploy. The build validates HTTPS origins, the public key, operator and contact, scans for credential patterns, and generates canonical pages, robots.txt and sitemap.xml. A successful build does not replace the live checks above.</w:t>
      </w:r>
    </w:p>
    <w:p>
      <w:pPr>
        <w:pStyle w:val="Heading1"/>
      </w:pPr>
      <w:r>
        <w:t>Step 10 Submit public pages to Google</w:t>
      </w:r>
    </w:p>
    <w:p>
      <w:r>
        <w:rPr>
          <w:b w:val="0"/>
        </w:rPr>
        <w:t>Open https://search.google.com/search-console. Add a URL-prefix property for the exact HTTPS Render subdomain, or a Domain property if you control a custom domain’s DNS. Complete Google’s offered verification method. For an HTML verification file, put the exact supplied file into frontend/public and redeploy; do not fabricate a verification token.</w:t>
      </w:r>
    </w:p>
    <w:p>
      <w:r>
        <w:rPr>
          <w:b w:val="0"/>
        </w:rPr>
        <w:t>Open the deployed /sitemap.xml and check that every URL uses the final domain. Submit sitemap.xml in Search Console’s Sitemaps report. Use URL Inspection for the homepage, guide and phishing-checker page, then request indexing where available. Check that rendered titles/descriptions describe the actual capability. The homepage retains its phishing and suspicious-content title after React starts. Do not submit private hash routes or case content.</w:t>
      </w:r>
    </w:p>
    <w:p>
      <w:r>
        <w:rPr>
          <w:b w:val="0"/>
        </w:rPr>
        <w:t>Submission and correct metadata do not guarantee indexing or a ranking. Search Console verification/submission have not been performed by this code update and remain owner actions.</w:t>
      </w:r>
    </w:p>
    <w:p>
      <w:pPr>
        <w:pStyle w:val="Heading1"/>
      </w:pPr>
      <w:r>
        <w:t>Step 11 Operate and recover</w:t>
      </w:r>
    </w:p>
    <w:p>
      <w:r>
        <w:rPr>
          <w:b w:val="0"/>
        </w:rPr>
        <w:t>Monitor free-plan quotas, database growth, confirmation email delivery, 429/503 rates and support requests. Back up using a method supported by the chosen plan and test a restore before relying on it. Never commit backups containing user data. Automatic case expiry is not implemented, so publish and follow the chosen retention process.</w:t>
      </w:r>
    </w:p>
    <w:p>
      <w:r>
        <w:rPr>
          <w:b w:val="0"/>
        </w:rPr>
        <w:t>For a failed release, pause new investigations, restore the previous known-good Render deployment and assess schema compatibility. Turning off indexing does not take a service offline or protect private data. The current additive changes do not delete user records. Future destructive migrations require their own backup and rollback plan.</w:t>
      </w:r>
    </w:p>
    <w:p>
      <w:r>
        <w:rPr>
          <w:b w:val="0"/>
        </w:rPr>
        <w:t>For a verified account-deletion request, pause incoming work, let in-flight requests finish, revoke sessions and remove the Supabase Auth account through the dashboard. Use the migration-owner credential only for the cleanup script. Run python scripts/delete_user_data.py USER_UUID first to see counts. Then run it with --execute and type the same UUID when prompted. The script requires the Auth identity to be absent and removes only that owner’s cases and personal usage counters. It cannot erase provider logs or backups; explain those separately to the requester.</w:t>
      </w:r>
    </w:p>
    <w:p>
      <w:pPr>
        <w:pStyle w:val="Heading1"/>
      </w:pPr>
      <w:r>
        <w:t>Current official references</w:t>
      </w:r>
    </w:p>
    <w:p>
      <w:r>
        <w:rPr>
          <w:b w:val="0"/>
        </w:rPr>
        <w:t>Checked 23 September 2026: Render free hosting https://render.com/docs/free; Supabase connections https://supabase.com/docs/guides/database/connecting-to-postgres; Supabase data security https://supabase.com/docs/guides/database/secure-data; SMTP https://supabase.com/docs/guides/auth/auth-smtp; Google sitemap submission https://developers.google.com/search/docs/crawling-indexing/sitemaps/build-sitemap; Gemini terms https://ai.google.dev/gemini-api/terms; VirusTotal restrictions https://docs.virustotal.com/reference/public-vs-premium-api. Recheck quotas and terms before launch.</w:t>
      </w:r>
    </w:p>
    <w:sectPr w:rsidR="00FC693F" w:rsidRPr="0006063C" w:rsidSect="00034616">
      <w:footerReference w:type="default" r:id="rId9"/>
      <w:pgSz w:w="12240" w:h="15840"/>
      <w:pgMar w:top="1008" w:right="1188" w:bottom="1008"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EVIDENCE v2.3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Developer Guide and Launch Steps</dc:title>
  <dc:subject>Developer Guide and Launch Steps</dc:subject>
  <dc:creator>EVIDENCE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