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3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4"/>
          <w:szCs w:val="44"/>
        </w:rPr>
        <w:t xml:space="preserve">实操台账系统</w:t>
      </w:r>
    </w:p>
    <w:p>
      <w:pPr>
        <w:spacing w:after="300" w:before="0"/>
        <w:jc w:val="center"/>
      </w:pPr>
      <w:r>
        <w:rPr>
          <w:rFonts w:ascii="Microsoft YaHei" w:cs="Microsoft YaHei" w:eastAsia="Microsoft YaHei" w:hAnsi="Microsoft YaHei"/>
          <w:color w:val="666666"/>
          <w:sz w:val="24"/>
          <w:szCs w:val="24"/>
        </w:rPr>
        <w:t xml:space="preserve">领导决策摘要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核心价值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一套系统解决实操人员从需求到入职的全流程管理，自动驱动各角色按时完成操作，杜绝信息不同步、反馈遗漏、用工风险。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登记人员、录入设备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薪资录入、跟进反馈、办理入职/结算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审批入职、关注风险、账号管理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系统地址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7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http://localhost:8080/hr-local.html（需先启动本地服务器）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流程一览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问卷提交(@全员) -&gt; 行政登记(@青霖) -&gt; SSC录薪 -&gt; 到期跟进(@SSC) -&gt; 反馈结果(@HRD+@全员) -&gt; 入职/结算(@HRD+@SSC)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全流程由企微群机器人自动驱动，无需人工催办。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通知规则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关键指标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规则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实操天数上限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超过7天产生事实劳动关系风险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提前提交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&gt;=3天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需求方须提前3天报给行政或自行填写问卷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ea580c"/>
                <w:sz w:val="20"/>
                <w:szCs w:val="20"/>
              </w:rPr>
              <w:t xml:space="preserve">跟进提醒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 @SSC / T-1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确保反馈不遗漏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确保带教人当天填写反馈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结果通知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确保管理层知晓结果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入职通知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确保入职流程不遗漏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数据安全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SSC(Zoe)个人电脑（加密）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角色权限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关注点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设备信息、实操周期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薪资、反馈、入职/结算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统计数据、风险预警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管理层决策点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 &gt; 7天时，是否批准？须签署知情同意书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反馈不通过时，确认薪资结算金额（SSC在本地工具操作）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逾期3天未反馈时，是否需要直接介入处理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领导决策摘要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2026-07-28T12:05:18.111Z</dcterms:created>
  <dcterms:modified xsi:type="dcterms:W3CDTF">2026-07-28T12:05:18.111Z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