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4"/>
          <w:szCs w:val="44"/>
        </w:rPr>
        <w:t xml:space="preserve">实操台账系统</w:t>
      </w:r>
    </w:p>
    <w:p>
      <w:pPr>
        <w:spacing w:after="300" w:before="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领导决策摘要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核心价值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一套系统解决实操人员从需求到入职的全流程管理，自动驱动各角色按时完成操作，杜绝信息不同步、反馈遗漏、用工风险。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登记人员、录入设备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薪资录入、跟进反馈、办理入职/结算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审批入职、关注风险、账号管理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系统地址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7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hr-local.html（本地运行，薪资不上云）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流程一览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问卷提交(@全员) -&gt; 行政登记(@青霖) -&gt; SSC录薪 -&gt; 到期跟进(@SSC) -&gt; 反馈结果(@HRD+@全员) -&gt; 入职/结算(@HRD+@SSC)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全流程由企微群机器人自动驱动，无需人工催办。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通知规则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关键指标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实操天数上限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超过7天产生事实劳动关系风险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提前提交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&gt;=3天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需求方须提前3天报给行政或自行填写问卷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a580c"/>
                <w:sz w:val="20"/>
                <w:szCs w:val="20"/>
              </w:rPr>
              <w:t xml:space="preserve">跟进提醒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 @SSC / T-1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确保反馈不遗漏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确保带教人当天填写反馈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结果通知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确保管理层知晓结果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入职通知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确保入职流程不遗漏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数据安全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SSC(Zoe)个人电脑（加密）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角色权限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关注点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设备信息、实操周期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薪资、反馈、入职/结算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统计数据、风险预警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管理层决策点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 &gt; 7天时，是否批准？须签署知情同意书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反馈不通过时，确认薪资结算金额（SSC在本地工具操作）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逾期3天未反馈时，是否需要直接介入处理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hr666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mgr888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领导决策摘要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2026-07-28T11:45:39.532Z</dcterms:created>
  <dcterms:modified xsi:type="dcterms:W3CDTF">2026-07-28T11:45:39.532Z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