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44"/>
          <w:szCs w:val="44"/>
        </w:rPr>
        <w:t xml:space="preserve">实操台账系统</w:t>
      </w:r>
    </w:p>
    <w:p>
      <w:pPr>
        <w:spacing w:after="300" w:befor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领导决策摘要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核心价值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一套系统解决实操人员从需求到入职的全流程管理，自动驱动各角色按时完成操作，杜绝信息不同步、反馈遗漏、用工风险。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角色与人员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系统账号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登记人员、录入设备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薪资录入、跟进反馈、办理入职/结算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审批入职、关注风险、账号管理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系统地址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7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本地SSC工具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hr-local.html（本地运行，薪资不上云）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流程一览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问卷提交(@全员) -&gt; 行政登记(@青霖) -&gt; SSC录薪 -&gt; 到期跟进(@SSC) -&gt; 反馈结果(@HRD+@全员) -&gt; 入职/结算(@HRD+@SSC)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全流程由企微群机器人自动驱动，无需人工催办。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通知规则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问卷提交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天数&gt;7天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结束前3天(T-3)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结束前1天(T-1)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到期当天(T-0)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逾期3天(T+3)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反馈提交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办理入职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关键指标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pct" w:w="4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实操天数上限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超过7天产生事实劳动关系风险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提前提交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&gt;=3天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需求方须提前3天报给行政或自行填写问卷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跟进提醒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 @SSC / T-1 @SSC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确保反馈不遗漏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到期当天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确保带教人当天填写反馈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结果通知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确保管理层知晓结果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入职通知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确保入职流程不遗漏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数据安全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4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云端系统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姓名/带教/日期/设备/反馈/状态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企微机器人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只发提醒，不存数据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企微群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本地SSC工具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薪资结构/金额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SSC(Zoe)个人电脑（加密）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dc2626"/>
          <w:sz w:val="21"/>
          <w:szCs w:val="21"/>
        </w:rPr>
        <w:t xml:space="preserve">薪资数据物理隔离，绝不上云。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角色权限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关注点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登记/编辑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设备信息、实操周期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全量读写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薪资、反馈、入职/结算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只读全量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统计数据、风险预警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管理层决策点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 &gt; 7天时，是否批准？须签署知情同意书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反馈不通过时，确认薪资结算金额（SSC在本地工具操作）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逾期3天未反馈时，是否需要直接介入处理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系统账号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admin123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hr666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mgr888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系统已部署上线：https://practice-ledger.onrender.com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领导决策摘要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2026-07-28T09:09:36.102Z</dcterms:created>
  <dcterms:modified xsi:type="dcterms:W3CDTF">2026-07-28T09:09:36.102Z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