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1a56c4"/>
          <w:sz w:val="40"/>
          <w:szCs w:val="40"/>
        </w:rPr>
        <w:t xml:space="preserve">实操人员管理流程升级汇报</w:t>
      </w:r>
    </w:p>
    <w:p>
      <w:pPr>
        <w:spacing w:after="40" w:before="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2026年8月  |  汇报人：Zoe（SSC）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一、背景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操台账系统自上线以来已稳定运行，覆盖需求提交、行政登记、薪资录入、到期跟进、反馈记录、入职/结算全流程，各节点由企微机器人自动提醒，无需人工催办。结合近期实际使用中的反馈，本次对流程做了三项升级，进一步补全人员信息归档，强化可追溯性。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二、本次升级内容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简历电子化归档：SSC统一上传实操人员简历（支持PDF/Word/图片，单文件不超过2MB），存储在云端数据库，永久保存、随时调取，不再依赖纸质文件或聊天记录。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 联系方式登记：行政登记实操人员时，同步登记电话、企业微信、私人微信，人员失联或异常时可第一时间取得联系。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 设备台账表格化：设备登记由单条记录改为表格化管理，每台设备一行，字段包含花名、设备型号、品牌、序列号、企业微信账号、私人微信账号、其他账号登记，设备与账号一一绑定，人员离场交接有据可查。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三、升级价值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信息归档完整：简历、联系方式、设备账号全部电子化集中管理，随时可查。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 追溯有据：设备序列号与人员账号绑定，避免设备与账号纠纷。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 安全底线不变：薪资数据仍存储在SSC本地加密工具，绝不上云；简历、设备等一般信息存云端，权限分级管理。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四、需协调事项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请各角色按新流程执行：行政登记时补录联系方式与设备台账；SSC收到实操人员简历后及时上传归档。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4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color w:val="1a56c4"/>
                <w:sz w:val="21"/>
                <w:szCs w:val="21"/>
              </w:rPr>
              <w:t xml:space="preserve">系统地址：https://practice-ledger.onrender.com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实操流程升级汇报 v3.3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after="60" w:before="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2026-08-27T04:39:50.210Z</dcterms:created>
  <dcterms:modified xsi:type="dcterms:W3CDTF">2026-08-27T04:39:50.210Z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