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29083" w14:textId="77777777" w:rsidR="0028264C" w:rsidRPr="00BF6916" w:rsidRDefault="0028264C" w:rsidP="0028264C">
      <w:pPr>
        <w:rPr>
          <w:b/>
          <w:bCs/>
        </w:rPr>
      </w:pPr>
      <w:r w:rsidRPr="00BF6916">
        <w:rPr>
          <w:b/>
          <w:bCs/>
        </w:rPr>
        <w:t>Reflective Assessment: Decision-Making and Problem-Solving</w:t>
      </w:r>
    </w:p>
    <w:p w14:paraId="299EB5B4" w14:textId="77777777" w:rsidR="0028264C" w:rsidRPr="00BF6916" w:rsidRDefault="0028264C" w:rsidP="0028264C">
      <w:pPr>
        <w:rPr>
          <w:b/>
          <w:bCs/>
        </w:rPr>
      </w:pPr>
      <w:r w:rsidRPr="00BF6916">
        <w:rPr>
          <w:b/>
          <w:bCs/>
        </w:rPr>
        <w:t>Introduction</w:t>
      </w:r>
    </w:p>
    <w:p w14:paraId="48AD7223" w14:textId="77777777" w:rsidR="0028264C" w:rsidRPr="00BF6916" w:rsidRDefault="0028264C" w:rsidP="0028264C">
      <w:r w:rsidRPr="00BF6916">
        <w:t xml:space="preserve">Decision-making and problem-solving are processes that </w:t>
      </w:r>
      <w:r>
        <w:t>happen</w:t>
      </w:r>
      <w:r w:rsidRPr="00BF6916">
        <w:t xml:space="preserve"> throughout everyday life, when situations involve uncertainty, emotion and incomplete information. </w:t>
      </w:r>
      <w:r>
        <w:t xml:space="preserve">Herein </w:t>
      </w:r>
      <w:r w:rsidRPr="00BF6916">
        <w:t xml:space="preserve">reflects two experiences from my life. </w:t>
      </w:r>
      <w:r>
        <w:t>I</w:t>
      </w:r>
      <w:r w:rsidRPr="00BF6916">
        <w:t xml:space="preserve"> </w:t>
      </w:r>
      <w:r>
        <w:t>will</w:t>
      </w:r>
      <w:r w:rsidRPr="00BF6916">
        <w:t xml:space="preserve"> describe how I approached the situation</w:t>
      </w:r>
      <w:r>
        <w:t>s</w:t>
      </w:r>
      <w:r w:rsidRPr="00BF6916">
        <w:t xml:space="preserve"> at the time and then reconsider each using concepts from decision-making, critical thinking and problem-solving. Finally, I compare my original and module-informed approaches and consider whether the latter might have produced a better solution.</w:t>
      </w:r>
    </w:p>
    <w:p w14:paraId="410087F3" w14:textId="77777777" w:rsidR="0028264C" w:rsidRPr="00BF6916" w:rsidRDefault="0028264C" w:rsidP="0028264C">
      <w:pPr>
        <w:rPr>
          <w:b/>
          <w:bCs/>
        </w:rPr>
      </w:pPr>
      <w:r w:rsidRPr="00BF6916">
        <w:rPr>
          <w:b/>
          <w:bCs/>
        </w:rPr>
        <w:t>Decision-Making</w:t>
      </w:r>
    </w:p>
    <w:p w14:paraId="4C6C49F2" w14:textId="77777777" w:rsidR="0028264C" w:rsidRPr="00BF6916" w:rsidRDefault="0028264C" w:rsidP="0028264C">
      <w:r>
        <w:t>Age</w:t>
      </w:r>
      <w:r w:rsidRPr="00BF6916">
        <w:t xml:space="preserve"> 14, I faced the decision of whether to tell anyone that I had been sexually assaulted. I was worried </w:t>
      </w:r>
      <w:r>
        <w:t xml:space="preserve">about </w:t>
      </w:r>
      <w:r w:rsidRPr="00BF6916">
        <w:t>be</w:t>
      </w:r>
      <w:r>
        <w:t>ing</w:t>
      </w:r>
      <w:r w:rsidRPr="00BF6916">
        <w:t xml:space="preserve"> believed and was concerned about my parents' reaction. I thought about the decision for</w:t>
      </w:r>
      <w:r>
        <w:t xml:space="preserve"> weeks to either </w:t>
      </w:r>
      <w:r w:rsidRPr="00BF6916">
        <w:t xml:space="preserve">tell someone </w:t>
      </w:r>
      <w:r>
        <w:t>or</w:t>
      </w:r>
      <w:r w:rsidRPr="00BF6916">
        <w:t xml:space="preserve"> </w:t>
      </w:r>
      <w:r>
        <w:t>staying</w:t>
      </w:r>
      <w:r w:rsidRPr="00BF6916">
        <w:t xml:space="preserve"> silent</w:t>
      </w:r>
      <w:r>
        <w:t>,</w:t>
      </w:r>
      <w:r w:rsidRPr="00BF6916">
        <w:t xml:space="preserve"> eventually t</w:t>
      </w:r>
      <w:r>
        <w:t>elling a close</w:t>
      </w:r>
      <w:r w:rsidRPr="00BF6916">
        <w:t xml:space="preserve"> friend. </w:t>
      </w:r>
      <w:r>
        <w:t xml:space="preserve">She </w:t>
      </w:r>
      <w:r w:rsidRPr="00BF6916">
        <w:t>encouraged me to tell my parents, which helped me make the decision to do so.</w:t>
      </w:r>
    </w:p>
    <w:p w14:paraId="715DAC7E" w14:textId="77777777" w:rsidR="0028264C" w:rsidRPr="00BF6916" w:rsidRDefault="0028264C" w:rsidP="0028264C">
      <w:r w:rsidRPr="00BF6916">
        <w:t xml:space="preserve">At the time, I considered the possible consequences of both </w:t>
      </w:r>
      <w:r>
        <w:t>decisions</w:t>
      </w:r>
      <w:r w:rsidRPr="00BF6916">
        <w:t xml:space="preserve">. If I told my parents, a positive outcome would be that I would no longer be scared and would have support. However, I was afraid that the threats that had been made against me would be carried out if I </w:t>
      </w:r>
      <w:r>
        <w:t>disclosed</w:t>
      </w:r>
      <w:r w:rsidRPr="00BF6916">
        <w:t xml:space="preserve">. If I stayed silent, the benefit was that I could avoid the fear </w:t>
      </w:r>
      <w:r>
        <w:t>of</w:t>
      </w:r>
      <w:r w:rsidRPr="00BF6916">
        <w:t xml:space="preserve"> telling someone, but the abuse could </w:t>
      </w:r>
      <w:r>
        <w:t xml:space="preserve">potentially </w:t>
      </w:r>
      <w:r w:rsidRPr="00BF6916">
        <w:t>continue. I also wanted the person responsible to be held accountable. Eventually, wanting the situation to stop became stronger than my fear of reporting it.</w:t>
      </w:r>
    </w:p>
    <w:p w14:paraId="31AF46F9" w14:textId="77777777" w:rsidR="0028264C" w:rsidRPr="00BF6916" w:rsidRDefault="0028264C" w:rsidP="0028264C">
      <w:r w:rsidRPr="00BF6916">
        <w:t xml:space="preserve">My parents were supportive and </w:t>
      </w:r>
      <w:r>
        <w:t>w</w:t>
      </w:r>
      <w:r w:rsidRPr="00BF6916">
        <w:t xml:space="preserve">e discussed what to do. Although I initially felt guilt about reporting the </w:t>
      </w:r>
      <w:r>
        <w:t>perpetrator</w:t>
      </w:r>
      <w:r w:rsidRPr="00BF6916">
        <w:t xml:space="preserve">, I also felt a weight </w:t>
      </w:r>
      <w:r>
        <w:t>off</w:t>
      </w:r>
      <w:r w:rsidRPr="00BF6916">
        <w:t xml:space="preserve"> my shoulders. I felt safer and that I had advocated for myself.</w:t>
      </w:r>
    </w:p>
    <w:p w14:paraId="2C429932" w14:textId="77777777" w:rsidR="0028264C" w:rsidRPr="00BF6916" w:rsidRDefault="0028264C" w:rsidP="0028264C">
      <w:r>
        <w:t>In hindsight</w:t>
      </w:r>
      <w:r w:rsidRPr="00BF6916">
        <w:t xml:space="preserve">, I can see that this decision could be considered through </w:t>
      </w:r>
      <w:r w:rsidRPr="001140B1">
        <w:t>Expected Utility Theory</w:t>
      </w:r>
      <w:r>
        <w:t>, which gives</w:t>
      </w:r>
      <w:r w:rsidRPr="00BF6916">
        <w:t xml:space="preserve"> a framework for evaluating choices according to their possible outcomes, including the likelihood and value of those outcomes (Moscati, 2016). I did not consciously calculate probabilities or assign values to possible outcomes at the time. However, I was informally comparing the consequences of </w:t>
      </w:r>
      <w:r>
        <w:t>both options</w:t>
      </w:r>
      <w:r w:rsidRPr="00BF6916">
        <w:t>.</w:t>
      </w:r>
    </w:p>
    <w:p w14:paraId="11FBEBBC" w14:textId="77777777" w:rsidR="0028264C" w:rsidRPr="00BF6916" w:rsidRDefault="0028264C" w:rsidP="0028264C">
      <w:r w:rsidRPr="00BF6916">
        <w:t xml:space="preserve">If I could </w:t>
      </w:r>
      <w:r>
        <w:t>go back</w:t>
      </w:r>
      <w:r w:rsidRPr="00BF6916">
        <w:t>, I would make this process more explicit</w:t>
      </w:r>
      <w:r>
        <w:t xml:space="preserve"> by</w:t>
      </w:r>
      <w:r w:rsidRPr="00BF6916">
        <w:t xml:space="preserve"> identify two main options: disclosure and remaining silent. For disclosure, the benefits would include receiving support, increasing my safety, stopping the abuse and holding the perpetrator accountable. The potential costs included my fear of not being believed and the possibility that the threats would be carried out. For remaining silent, the benefit would be avoiding the feared consequences of disclosure, while the negative consequence was the possibility that the abuse would continue. Writing these outcomes down would have helped me recognise that remaining silent was not a risk-free option.</w:t>
      </w:r>
    </w:p>
    <w:p w14:paraId="088F333D" w14:textId="77777777" w:rsidR="0028264C" w:rsidRPr="00BF6916" w:rsidRDefault="0028264C" w:rsidP="0028264C">
      <w:r w:rsidRPr="00BF6916">
        <w:lastRenderedPageBreak/>
        <w:t>Halpern's approach to critical thinking is also relevant because it involves deliberately applying thinking skills and monitoring one's own reasoning (Halpern, 2014). If I could approach the decision again, I would distinguish between what I knew and what I assumed. For example, I knew that threats had been made, but I could not know with certainty that they would be carried out if I reported the assault. I would also seek information from a trusted adult about what would happen after reporting rather than trying to predict every possible consequence myself. This would provide additional evidence on which to base the decision.</w:t>
      </w:r>
    </w:p>
    <w:p w14:paraId="78AD5784" w14:textId="77777777" w:rsidR="0028264C" w:rsidRPr="00BF6916" w:rsidRDefault="0028264C" w:rsidP="0028264C">
      <w:r w:rsidRPr="00BF6916">
        <w:t xml:space="preserve">Confirmation bias is another concept </w:t>
      </w:r>
      <w:r>
        <w:t>to</w:t>
      </w:r>
      <w:r w:rsidRPr="00BF6916">
        <w:t xml:space="preserve"> consider</w:t>
      </w:r>
      <w:r>
        <w:t>,</w:t>
      </w:r>
      <w:r w:rsidRPr="00BF6916">
        <w:t xml:space="preserve"> although I would be cautious about applying it too strongly. Confirmation bias involves favouring information that supports an existing belief or expectation (Nickerson, 1998). I was not simply looking for evidence supporting one fixed decision. Instead, I was moving between reasons to disclose and reasons to remain silent and asking my friend for advice. Nevertheless, relying on my friend's encouragement may have provided reassurance rather than systematically testing my assumptions. A more critical approach would involve actively examining both the reasons for and against disclosure.</w:t>
      </w:r>
    </w:p>
    <w:p w14:paraId="2D03512D" w14:textId="77777777" w:rsidR="0028264C" w:rsidRPr="004B0E41" w:rsidRDefault="0028264C" w:rsidP="0028264C">
      <w:r w:rsidRPr="00BF6916">
        <w:t xml:space="preserve">The main difference between my original and module-informed approaches is therefore the degree of structure. My original decision involved </w:t>
      </w:r>
      <w:r>
        <w:t>extensive</w:t>
      </w:r>
      <w:r w:rsidRPr="00BF6916">
        <w:t xml:space="preserve"> thought, discussion and consideration of consequences, but it was strongly affected by fear and uncertainty. A module-informed approach would make the alternatives, assumptions and consequences more explicit. It would not remove the emotional difficulty of the situation,</w:t>
      </w:r>
      <w:r>
        <w:t xml:space="preserve"> </w:t>
      </w:r>
      <w:r w:rsidRPr="00BF6916">
        <w:t>but it could have given me a clearer process for reaching the decision. Importantly, this does not mean that my original decision was poor. I ultimately achieved the outcome I wanted, felt safer and felt able to advocate for myself.</w:t>
      </w:r>
    </w:p>
    <w:p w14:paraId="734DE650" w14:textId="77777777" w:rsidR="0028264C" w:rsidRPr="00BF6916" w:rsidRDefault="0028264C" w:rsidP="0028264C">
      <w:pPr>
        <w:rPr>
          <w:b/>
          <w:bCs/>
        </w:rPr>
      </w:pPr>
      <w:r w:rsidRPr="00BF6916">
        <w:rPr>
          <w:b/>
          <w:bCs/>
        </w:rPr>
        <w:t xml:space="preserve">Problem-Solving </w:t>
      </w:r>
    </w:p>
    <w:p w14:paraId="0E898965" w14:textId="77777777" w:rsidR="0028264C" w:rsidRPr="00BF6916" w:rsidRDefault="0028264C" w:rsidP="0028264C">
      <w:r w:rsidRPr="00BF6916">
        <w:t>A separate problem occurred when my best friend of 20 years and I argued about our political views</w:t>
      </w:r>
      <w:r>
        <w:t xml:space="preserve"> </w:t>
      </w:r>
      <w:r w:rsidRPr="00BF6916">
        <w:t>around the time of an election. My friend wanted to vote, whereas I had decided that I did not want to. She thought it was selfish of me not to use my vote. I tried to explain my view and listened to hers, but we both became defensive.</w:t>
      </w:r>
    </w:p>
    <w:p w14:paraId="4D68A4C2" w14:textId="77777777" w:rsidR="0028264C" w:rsidRPr="00BF6916" w:rsidRDefault="0028264C" w:rsidP="0028264C">
      <w:r w:rsidRPr="00BF6916">
        <w:t xml:space="preserve">At first, I treated the disagreement itself as the problem. However, the more significant problem was the effect that the disagreement could have on our friendship. After </w:t>
      </w:r>
      <w:r>
        <w:t>failing to</w:t>
      </w:r>
      <w:r w:rsidRPr="00BF6916">
        <w:t xml:space="preserve"> reach an agreement, we recognised that our friendship was more important than our political differences. We decided not to discuss the subject anymore and to move forward. We have remained friends and now agree to disagree and respect each other's views.</w:t>
      </w:r>
    </w:p>
    <w:p w14:paraId="428581BD" w14:textId="77777777" w:rsidR="0028264C" w:rsidRPr="008A6273" w:rsidRDefault="0028264C" w:rsidP="0028264C">
      <w:r w:rsidRPr="00BF6916">
        <w:t>Newell and Simon's (1972) framework for problem solving provides a</w:t>
      </w:r>
      <w:r>
        <w:t>n important</w:t>
      </w:r>
      <w:r w:rsidRPr="00BF6916">
        <w:t xml:space="preserve"> way of </w:t>
      </w:r>
      <w:r w:rsidRPr="008A6273">
        <w:t xml:space="preserve">reconsidering this experience. Their approach conceptualises problem solving in terms of a problem space, including an initial state, possible actions and a desired goal state. </w:t>
      </w:r>
      <w:r w:rsidRPr="008A6273">
        <w:lastRenderedPageBreak/>
        <w:t>In my situation, the initial state was a 20-year friendship that had become strained because of a disagreement. My goal state was to preserve the friendship. Possible actions included continuing the argument, explaining my position, listening to my friend's perspective, agreeing to disagree or setting a boundary around future political conversations.</w:t>
      </w:r>
    </w:p>
    <w:p w14:paraId="16CF12A5" w14:textId="77777777" w:rsidR="0028264C" w:rsidRPr="00BF6916" w:rsidRDefault="0028264C" w:rsidP="0028264C">
      <w:r w:rsidRPr="008A6273">
        <w:t>The problem can also be described as ill-defined. There</w:t>
      </w:r>
      <w:r w:rsidRPr="00BF6916">
        <w:t xml:space="preserve"> was no objectively correct answer that would resolve the disagreement because my friend and I were entitled to different views. The goal was therefore not to establish who was right but to find a solution that allowed the friendship to continue. Recognising this distinction would have changed the way I approached the disagreement.</w:t>
      </w:r>
    </w:p>
    <w:p w14:paraId="210AF565" w14:textId="77777777" w:rsidR="0028264C" w:rsidRPr="00BF6916" w:rsidRDefault="0028264C" w:rsidP="0028264C">
      <w:r w:rsidRPr="00BF6916">
        <w:t xml:space="preserve">If I could rewind using </w:t>
      </w:r>
      <w:r>
        <w:t xml:space="preserve">academic </w:t>
      </w:r>
      <w:r w:rsidRPr="00BF6916">
        <w:t xml:space="preserve">knowledge, I would first define the problem more accurately. Instead of </w:t>
      </w:r>
      <w:r w:rsidRPr="008A6273">
        <w:t xml:space="preserve">thinking that the problem was that my friend believed I was selfish, I would identify it as: we have different political </w:t>
      </w:r>
      <w:proofErr w:type="gramStart"/>
      <w:r w:rsidRPr="008A6273">
        <w:t>views</w:t>
      </w:r>
      <w:proofErr w:type="gramEnd"/>
      <w:r w:rsidRPr="008A6273">
        <w:t xml:space="preserve"> and our disagreement is damag</w:t>
      </w:r>
      <w:r>
        <w:t xml:space="preserve">ing </w:t>
      </w:r>
      <w:r w:rsidRPr="008A6273">
        <w:t>a 20-year friendship. I would then establish the goal as maintaining the friendship without requiring</w:t>
      </w:r>
      <w:r w:rsidRPr="00BF6916">
        <w:t xml:space="preserve"> either person to change their beliefs.</w:t>
      </w:r>
    </w:p>
    <w:p w14:paraId="3C74F909" w14:textId="77777777" w:rsidR="0028264C" w:rsidRPr="00BF6916" w:rsidRDefault="0028264C" w:rsidP="0028264C">
      <w:r w:rsidRPr="00BF6916">
        <w:t>My response would also be more structured. First, I would acknowledge my friend's opinion and demonstrate that I understood her</w:t>
      </w:r>
      <w:r>
        <w:t xml:space="preserve"> views</w:t>
      </w:r>
      <w:r w:rsidRPr="00BF6916">
        <w:t>. Second, I would explain that I did not consider my decision selfish, while making clear that this was my personal position. Third, I would explain my reasons without trying to persuade her to agree with me. Finally, I would suggest that we agree to disagree and establish that political discussions should not be allowed to damage the friendship.</w:t>
      </w:r>
    </w:p>
    <w:p w14:paraId="6E82A3D6" w14:textId="77777777" w:rsidR="0028264C" w:rsidRPr="00BF6916" w:rsidRDefault="0028264C" w:rsidP="0028264C">
      <w:r w:rsidRPr="00BF6916">
        <w:t>This approach also relates to Halpern's emphasis on monitoring one's reasoning (Halpern, 2014). During the original argument, both of us became defensive. If I had recognised this, I could have considered whether continuing to defend my position was helping me achieve my goal. It was not. My real goal was to maintain the friendship, not to persuade my friend to share my view.</w:t>
      </w:r>
    </w:p>
    <w:p w14:paraId="24D43338" w14:textId="77777777" w:rsidR="0028264C" w:rsidRPr="00BF6916" w:rsidRDefault="0028264C" w:rsidP="0028264C">
      <w:r w:rsidRPr="00BF6916">
        <w:t>Hill-Briggs et al. (2007) also describe problem solving as involving processes such as identifying a problem, generating possible solutions, implementing a solution and evaluating its effectiveness. Appl</w:t>
      </w:r>
      <w:r>
        <w:t>ied</w:t>
      </w:r>
      <w:r w:rsidRPr="00BF6916">
        <w:t xml:space="preserve"> retrospectively, I could have recognised the disagreement, generated several possible responses and evaluated them according to my actual goal. Continuing the argument was unlikely to preserve the friendship, whereas agreeing to disagree and establishing a boundary directly addressed the problem. In practice, this was ultimately the solution we reached, but only after the initial conversation bec</w:t>
      </w:r>
      <w:r>
        <w:t>a</w:t>
      </w:r>
      <w:r w:rsidRPr="00BF6916">
        <w:t>me defensive.</w:t>
      </w:r>
    </w:p>
    <w:p w14:paraId="7BBDA329" w14:textId="77777777" w:rsidR="0028264C" w:rsidRPr="00BF6916" w:rsidRDefault="0028264C" w:rsidP="0028264C">
      <w:r w:rsidRPr="00BF6916">
        <w:t xml:space="preserve">The main difference between my original and module-informed approaches is therefore how the problem is defined. Initially, I focused on the political disagreement and defending my own position. A module-informed approach would focus on the underlying goal of protecting the friendship. The final solution would probably have </w:t>
      </w:r>
      <w:r w:rsidRPr="00BF6916">
        <w:lastRenderedPageBreak/>
        <w:t>been similar, but I might have reached it sooner and with less conflict. I also recognise now that accepting another person</w:t>
      </w:r>
      <w:r>
        <w:t>’s</w:t>
      </w:r>
      <w:r w:rsidRPr="00BF6916">
        <w:t xml:space="preserve"> view can be part of solving an interpersonal problem when agreement is neither necessary nor possible.</w:t>
      </w:r>
    </w:p>
    <w:p w14:paraId="35296876" w14:textId="77777777" w:rsidR="0028264C" w:rsidRPr="00BF6916" w:rsidRDefault="0028264C" w:rsidP="0028264C">
      <w:pPr>
        <w:rPr>
          <w:b/>
          <w:bCs/>
        </w:rPr>
      </w:pPr>
      <w:r w:rsidRPr="00BF6916">
        <w:rPr>
          <w:b/>
          <w:bCs/>
        </w:rPr>
        <w:t>Conclusion</w:t>
      </w:r>
    </w:p>
    <w:p w14:paraId="1099476B" w14:textId="77777777" w:rsidR="0028264C" w:rsidRPr="00BF6916" w:rsidRDefault="0028264C" w:rsidP="0028264C">
      <w:r w:rsidRPr="00BF6916">
        <w:t>These two experiences show that my original approaches to decision-making and problem-solving were not simply irrational or ineffective. In both situations, I was responding to circumstances that were emotionally significant and uncertain. In the first, I spent weeks considering whether to disclose the assault before acting. In the second, I eventually found a way to preserve a 20-year friendship despite a continuing disagreement.</w:t>
      </w:r>
    </w:p>
    <w:p w14:paraId="63559176" w14:textId="77777777" w:rsidR="0028264C" w:rsidRPr="00BF6916" w:rsidRDefault="0028264C" w:rsidP="0028264C">
      <w:r w:rsidRPr="00BF6916">
        <w:t xml:space="preserve">The module has provided ways of making these processes more structured. Expected Utility Theory </w:t>
      </w:r>
      <w:r>
        <w:t>has</w:t>
      </w:r>
      <w:r w:rsidRPr="00BF6916">
        <w:t xml:space="preserve"> helped me identify and compare the possible consequences of disclosure and remaining silent. Halpern's critical-thinking approach </w:t>
      </w:r>
      <w:r>
        <w:t>has</w:t>
      </w:r>
      <w:r w:rsidRPr="00BF6916">
        <w:t xml:space="preserve"> encouraged me to distinguish evidence from assumptions and monitor my reasoning. In the friendship conflict, Newell and Simon's problem-space framework would have helped me distinguish the initial situation from the desired goal, while recognising the disagreement as an ill-defined problem. Hill-Briggs et al.'s approach further demonstrates the importance of identifying the problem, considering possible solutions and evaluating their effectiveness.</w:t>
      </w:r>
    </w:p>
    <w:p w14:paraId="64BA418B" w14:textId="77777777" w:rsidR="0028264C" w:rsidRPr="00BF6916" w:rsidRDefault="0028264C" w:rsidP="0028264C">
      <w:r w:rsidRPr="00BF6916">
        <w:t>The main difference between my naïve and module-informed approaches is therefore not that one is emotional and the other is rational. Instead, the module-informed approach provides a deliberate structure for defining problems, considering alternatives, examining assumptions and evaluating consequences. These techniques cannot guarantee a better outcome, particularly when situations involve uncertainty and emotions. However, they can make the reasoning process more systematic and defensible. In both experiences, I ultimately reached outcomes that were important to me, but the module has given me greater awareness of how I could approach similar decisions and problems in the future.</w:t>
      </w:r>
    </w:p>
    <w:p w14:paraId="758FB177" w14:textId="77777777" w:rsidR="0028264C" w:rsidRDefault="0028264C" w:rsidP="0028264C">
      <w:pPr>
        <w:rPr>
          <w:b/>
          <w:bCs/>
        </w:rPr>
      </w:pPr>
    </w:p>
    <w:p w14:paraId="78239409" w14:textId="77777777" w:rsidR="0028264C" w:rsidRDefault="0028264C" w:rsidP="0028264C">
      <w:pPr>
        <w:rPr>
          <w:b/>
          <w:bCs/>
        </w:rPr>
      </w:pPr>
    </w:p>
    <w:p w14:paraId="13BEA84B" w14:textId="77777777" w:rsidR="0028264C" w:rsidRDefault="0028264C" w:rsidP="0028264C">
      <w:pPr>
        <w:rPr>
          <w:b/>
          <w:bCs/>
        </w:rPr>
      </w:pPr>
    </w:p>
    <w:p w14:paraId="1AB348B3" w14:textId="77777777" w:rsidR="0028264C" w:rsidRDefault="0028264C" w:rsidP="0028264C">
      <w:pPr>
        <w:rPr>
          <w:b/>
          <w:bCs/>
        </w:rPr>
      </w:pPr>
    </w:p>
    <w:p w14:paraId="66058616" w14:textId="77777777" w:rsidR="0028264C" w:rsidRDefault="0028264C" w:rsidP="0028264C">
      <w:pPr>
        <w:rPr>
          <w:b/>
          <w:bCs/>
        </w:rPr>
      </w:pPr>
    </w:p>
    <w:p w14:paraId="0233315C" w14:textId="77777777" w:rsidR="0028264C" w:rsidRDefault="0028264C" w:rsidP="0028264C">
      <w:pPr>
        <w:rPr>
          <w:b/>
          <w:bCs/>
        </w:rPr>
      </w:pPr>
    </w:p>
    <w:p w14:paraId="75E855FC" w14:textId="77777777" w:rsidR="0028264C" w:rsidRDefault="0028264C" w:rsidP="0028264C">
      <w:pPr>
        <w:rPr>
          <w:b/>
          <w:bCs/>
        </w:rPr>
      </w:pPr>
    </w:p>
    <w:p w14:paraId="58715DFE" w14:textId="00F94568" w:rsidR="0028264C" w:rsidRPr="00BF6916" w:rsidRDefault="0028264C" w:rsidP="0028264C">
      <w:pPr>
        <w:rPr>
          <w:b/>
          <w:bCs/>
        </w:rPr>
      </w:pPr>
      <w:r w:rsidRPr="00BF6916">
        <w:rPr>
          <w:b/>
          <w:bCs/>
        </w:rPr>
        <w:lastRenderedPageBreak/>
        <w:t>References</w:t>
      </w:r>
    </w:p>
    <w:p w14:paraId="102FB3B7" w14:textId="77777777" w:rsidR="0028264C" w:rsidRPr="00BF6916" w:rsidRDefault="0028264C" w:rsidP="0028264C">
      <w:r w:rsidRPr="00BF6916">
        <w:t>Halpern, D. F. (2014). Thought and knowledge: An introduction to critical thinking (5th ed.). Psychology Press.</w:t>
      </w:r>
    </w:p>
    <w:p w14:paraId="110E302D" w14:textId="77777777" w:rsidR="0028264C" w:rsidRPr="00BF6916" w:rsidRDefault="0028264C" w:rsidP="0028264C">
      <w:r w:rsidRPr="00BF6916">
        <w:t xml:space="preserve">Hill-Briggs, F., Gemmell, L., Kulkarni, B., &amp; Anderson, R. M. (2007). Problem solving in diabetes self-management: A model of problem-solving processes. </w:t>
      </w:r>
      <w:r w:rsidRPr="00BF6916">
        <w:rPr>
          <w:i/>
          <w:iCs/>
        </w:rPr>
        <w:t>Diabetes Educator, 33</w:t>
      </w:r>
      <w:r w:rsidRPr="00BF6916">
        <w:t>(5), 845–854. https://doi.org/10.1177/0145721707307614</w:t>
      </w:r>
    </w:p>
    <w:p w14:paraId="685AE6C4" w14:textId="77777777" w:rsidR="0028264C" w:rsidRPr="00BF6916" w:rsidRDefault="0028264C" w:rsidP="0028264C">
      <w:r w:rsidRPr="00BF6916">
        <w:t xml:space="preserve">Moscati, I. (2016). How economists came to accept expected utility theory: The case of Samuelson and Savage. </w:t>
      </w:r>
      <w:r w:rsidRPr="00BF6916">
        <w:rPr>
          <w:i/>
          <w:iCs/>
        </w:rPr>
        <w:t>Journal of Economic Perspectives, 30</w:t>
      </w:r>
      <w:r w:rsidRPr="00BF6916">
        <w:t xml:space="preserve">(2), 219–236. </w:t>
      </w:r>
      <w:hyperlink r:id="rId4" w:tgtFrame="_new" w:history="1">
        <w:r w:rsidRPr="00BF6916">
          <w:rPr>
            <w:rStyle w:val="Hyperlink"/>
          </w:rPr>
          <w:t>https://doi.org/10.1257/jep.30.2.219</w:t>
        </w:r>
      </w:hyperlink>
    </w:p>
    <w:p w14:paraId="0253E4CB" w14:textId="77777777" w:rsidR="0028264C" w:rsidRPr="00BF6916" w:rsidRDefault="0028264C" w:rsidP="0028264C">
      <w:r w:rsidRPr="00BF6916">
        <w:t xml:space="preserve">Newell, A., &amp; Simon, H. A. (1972). </w:t>
      </w:r>
      <w:r w:rsidRPr="00BF6916">
        <w:rPr>
          <w:i/>
          <w:iCs/>
        </w:rPr>
        <w:t>Human problem solving</w:t>
      </w:r>
      <w:r w:rsidRPr="00BF6916">
        <w:t>. Prentice-Hall.</w:t>
      </w:r>
    </w:p>
    <w:p w14:paraId="677CEF53" w14:textId="77777777" w:rsidR="0028264C" w:rsidRPr="00BF6916" w:rsidRDefault="0028264C" w:rsidP="0028264C">
      <w:r w:rsidRPr="00BF6916">
        <w:t xml:space="preserve">Nickerson, R. S. (1998). Confirmation bias: A ubiquitous phenomenon in many guises. </w:t>
      </w:r>
      <w:r w:rsidRPr="00BF6916">
        <w:rPr>
          <w:i/>
          <w:iCs/>
        </w:rPr>
        <w:t>Review of General Psychology, 2</w:t>
      </w:r>
      <w:r w:rsidRPr="00BF6916">
        <w:t xml:space="preserve">(2), 175–220. </w:t>
      </w:r>
      <w:hyperlink r:id="rId5" w:tgtFrame="_new" w:history="1">
        <w:r w:rsidRPr="00BF6916">
          <w:rPr>
            <w:rStyle w:val="Hyperlink"/>
          </w:rPr>
          <w:t>https://doi.org/10.1037/1089-2680.2.2.175</w:t>
        </w:r>
      </w:hyperlink>
    </w:p>
    <w:p w14:paraId="3EF62A1B" w14:textId="77777777" w:rsidR="0028264C" w:rsidRDefault="0028264C" w:rsidP="0028264C"/>
    <w:p w14:paraId="5A78EA69" w14:textId="77777777" w:rsidR="00285E85" w:rsidRDefault="00285E85"/>
    <w:sectPr w:rsidR="00285E85" w:rsidSect="002826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85"/>
    <w:rsid w:val="00083BE8"/>
    <w:rsid w:val="000A4294"/>
    <w:rsid w:val="001140B1"/>
    <w:rsid w:val="0018374C"/>
    <w:rsid w:val="00257CF3"/>
    <w:rsid w:val="0028264C"/>
    <w:rsid w:val="00285E85"/>
    <w:rsid w:val="00385393"/>
    <w:rsid w:val="00550255"/>
    <w:rsid w:val="00642F8E"/>
    <w:rsid w:val="00754A1B"/>
    <w:rsid w:val="00817181"/>
    <w:rsid w:val="00871419"/>
    <w:rsid w:val="008A6273"/>
    <w:rsid w:val="00910206"/>
    <w:rsid w:val="00A328DA"/>
    <w:rsid w:val="00A36D57"/>
    <w:rsid w:val="00BC3FA1"/>
    <w:rsid w:val="00BF6916"/>
    <w:rsid w:val="00D535D0"/>
    <w:rsid w:val="00E17A18"/>
    <w:rsid w:val="00F14E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7A73"/>
  <w15:chartTrackingRefBased/>
  <w15:docId w15:val="{7AEC787A-10B6-435A-9607-2B831B274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64C"/>
  </w:style>
  <w:style w:type="paragraph" w:styleId="Heading1">
    <w:name w:val="heading 1"/>
    <w:basedOn w:val="Normal"/>
    <w:next w:val="Normal"/>
    <w:link w:val="Heading1Char"/>
    <w:uiPriority w:val="9"/>
    <w:qFormat/>
    <w:rsid w:val="00285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E85"/>
    <w:rPr>
      <w:rFonts w:eastAsiaTheme="majorEastAsia" w:cstheme="majorBidi"/>
      <w:color w:val="272727" w:themeColor="text1" w:themeTint="D8"/>
    </w:rPr>
  </w:style>
  <w:style w:type="paragraph" w:styleId="Title">
    <w:name w:val="Title"/>
    <w:basedOn w:val="Normal"/>
    <w:next w:val="Normal"/>
    <w:link w:val="TitleChar"/>
    <w:uiPriority w:val="10"/>
    <w:qFormat/>
    <w:rsid w:val="00285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E85"/>
    <w:pPr>
      <w:spacing w:before="160"/>
      <w:jc w:val="center"/>
    </w:pPr>
    <w:rPr>
      <w:i/>
      <w:iCs/>
      <w:color w:val="404040" w:themeColor="text1" w:themeTint="BF"/>
    </w:rPr>
  </w:style>
  <w:style w:type="character" w:customStyle="1" w:styleId="QuoteChar">
    <w:name w:val="Quote Char"/>
    <w:basedOn w:val="DefaultParagraphFont"/>
    <w:link w:val="Quote"/>
    <w:uiPriority w:val="29"/>
    <w:rsid w:val="00285E85"/>
    <w:rPr>
      <w:i/>
      <w:iCs/>
      <w:color w:val="404040" w:themeColor="text1" w:themeTint="BF"/>
    </w:rPr>
  </w:style>
  <w:style w:type="paragraph" w:styleId="ListParagraph">
    <w:name w:val="List Paragraph"/>
    <w:basedOn w:val="Normal"/>
    <w:uiPriority w:val="34"/>
    <w:qFormat/>
    <w:rsid w:val="00285E85"/>
    <w:pPr>
      <w:ind w:left="720"/>
      <w:contextualSpacing/>
    </w:pPr>
  </w:style>
  <w:style w:type="character" w:styleId="IntenseEmphasis">
    <w:name w:val="Intense Emphasis"/>
    <w:basedOn w:val="DefaultParagraphFont"/>
    <w:uiPriority w:val="21"/>
    <w:qFormat/>
    <w:rsid w:val="00285E85"/>
    <w:rPr>
      <w:i/>
      <w:iCs/>
      <w:color w:val="0F4761" w:themeColor="accent1" w:themeShade="BF"/>
    </w:rPr>
  </w:style>
  <w:style w:type="paragraph" w:styleId="IntenseQuote">
    <w:name w:val="Intense Quote"/>
    <w:basedOn w:val="Normal"/>
    <w:next w:val="Normal"/>
    <w:link w:val="IntenseQuoteChar"/>
    <w:uiPriority w:val="30"/>
    <w:qFormat/>
    <w:rsid w:val="00285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E85"/>
    <w:rPr>
      <w:i/>
      <w:iCs/>
      <w:color w:val="0F4761" w:themeColor="accent1" w:themeShade="BF"/>
    </w:rPr>
  </w:style>
  <w:style w:type="character" w:styleId="IntenseReference">
    <w:name w:val="Intense Reference"/>
    <w:basedOn w:val="DefaultParagraphFont"/>
    <w:uiPriority w:val="32"/>
    <w:qFormat/>
    <w:rsid w:val="00285E85"/>
    <w:rPr>
      <w:b/>
      <w:bCs/>
      <w:smallCaps/>
      <w:color w:val="0F4761" w:themeColor="accent1" w:themeShade="BF"/>
      <w:spacing w:val="5"/>
    </w:rPr>
  </w:style>
  <w:style w:type="character" w:styleId="Hyperlink">
    <w:name w:val="Hyperlink"/>
    <w:basedOn w:val="DefaultParagraphFont"/>
    <w:uiPriority w:val="99"/>
    <w:unhideWhenUsed/>
    <w:rsid w:val="00A328DA"/>
    <w:rPr>
      <w:color w:val="467886" w:themeColor="hyperlink"/>
      <w:u w:val="single"/>
    </w:rPr>
  </w:style>
  <w:style w:type="character" w:styleId="UnresolvedMention">
    <w:name w:val="Unresolved Mention"/>
    <w:basedOn w:val="DefaultParagraphFont"/>
    <w:uiPriority w:val="99"/>
    <w:semiHidden/>
    <w:unhideWhenUsed/>
    <w:rsid w:val="00A32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37/1089-2680.2.2.175?utm_source=chatgpt.com" TargetMode="External"/><Relationship Id="rId4" Type="http://schemas.openxmlformats.org/officeDocument/2006/relationships/hyperlink" Target="https://doi.org/10.1257/jep.30.2.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5</Pages>
  <Words>1754</Words>
  <Characters>10002</Characters>
  <Application>Microsoft Office Word</Application>
  <DocSecurity>0</DocSecurity>
  <Lines>83</Lines>
  <Paragraphs>23</Paragraphs>
  <ScaleCrop>false</ScaleCrop>
  <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Amiee Kostiadis</dc:creator>
  <cp:keywords/>
  <dc:description/>
  <cp:lastModifiedBy>Amiee Kostiadis</cp:lastModifiedBy>
  <cp:revision>132</cp:revision>
  <dcterms:created xsi:type="dcterms:W3CDTF">2026-09-26T00:02:00Z</dcterms:created>
  <dcterms:modified xsi:type="dcterms:W3CDTF">2026-10-01T20:32:00Z</dcterms:modified>
</cp:coreProperties>
</file>