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7287" w14:textId="77777777" w:rsidR="005A3362" w:rsidRPr="005A3362" w:rsidRDefault="005A3362" w:rsidP="005A3362">
      <w:pPr>
        <w:pStyle w:val="Heading1"/>
        <w:spacing w:line="480" w:lineRule="auto"/>
      </w:pPr>
      <w:r w:rsidRPr="005A3362">
        <w:t>Looking Back Differently: A Reflection on Decision-Making and Problem-Solving</w:t>
      </w:r>
    </w:p>
    <w:p w14:paraId="2F6083AE" w14:textId="77777777" w:rsidR="005A3362" w:rsidRPr="005A3362" w:rsidRDefault="005A3362" w:rsidP="005A3362">
      <w:pPr>
        <w:pStyle w:val="Heading2"/>
        <w:spacing w:line="480" w:lineRule="auto"/>
      </w:pPr>
      <w:r w:rsidRPr="005A3362">
        <w:t>Decision: Returning to University to Study Psychology</w:t>
      </w:r>
    </w:p>
    <w:p w14:paraId="24A86D80" w14:textId="77777777" w:rsidR="005A3362" w:rsidRPr="005A3362" w:rsidRDefault="005A3362" w:rsidP="005A3362">
      <w:pPr>
        <w:pStyle w:val="Heading3"/>
        <w:spacing w:line="480" w:lineRule="auto"/>
      </w:pPr>
      <w:r w:rsidRPr="005A3362">
        <w:t>How I made the decision at the time</w:t>
      </w:r>
    </w:p>
    <w:p w14:paraId="6C7D7F52"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One of the most important decisions I have made was to return to university and study psychology after a long career in investment banking. I had spent more than 15 years in senior roles and reached Executive Director level, so banking was familiar and I had invested a significant part of my adult life in that career. Studying psychology represented a genuine change in direction.</w:t>
      </w:r>
    </w:p>
    <w:p w14:paraId="258A52FE"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At the time, I approached the decision quite informally. I had become increasingly interested in why people think, behave and make decisions in the ways they do, and this fitted with my growing involvement in mediation.</w:t>
      </w:r>
    </w:p>
    <w:p w14:paraId="469EAAD2"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I considered whether I could study part-time, whether online learning would fit around work and family commitments, and whether I could sustain several years of study. I compared that with continuing along a more familiar professional route. I did not create a formal list of criteria or calculate the likely consequences of each option. I mainly asked myself which direction felt more worthwhile and which choice I was more likely to regret not making. I decided to enrol.</w:t>
      </w:r>
    </w:p>
    <w:p w14:paraId="500C1E3E" w14:textId="77777777" w:rsidR="005A3362" w:rsidRPr="005A3362" w:rsidRDefault="005A3362" w:rsidP="005A3362">
      <w:pPr>
        <w:pStyle w:val="Heading3"/>
        <w:spacing w:line="480" w:lineRule="auto"/>
      </w:pPr>
      <w:r w:rsidRPr="005A3362">
        <w:lastRenderedPageBreak/>
        <w:t>How I would approach the decision now</w:t>
      </w:r>
    </w:p>
    <w:p w14:paraId="7BF11633"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If I could make the decision again, I would begin by framing it more carefully. Rather than asking, “Should I leave banking for psychology?”, which makes the choice sound binary, I would ask: “Which combination of work and study gives me the strongest balance of intellectual interest, flexibility, financial sustainability and future opportunity?” Halpern and Dunn’s (2023) Multi-Process Model would encourage me to identify the decision clearly, generate alternatives, gather relevant information, evaluate likely consequences and monitor the reasoning.</w:t>
      </w:r>
    </w:p>
    <w:p w14:paraId="6AED8F05"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I would deliberately generate more than two options: continuing primarily in banking, studying psychology part-time while retaining professional work, or taking a shorter qualification linked to mediation. I would then rate them against criteria such as flexibility, cost, time commitment, intellectual interest, career relevance and future options.</w:t>
      </w:r>
    </w:p>
    <w:p w14:paraId="3694B39E"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This resembles an expected-utility approach because I would be considering both how much I valued an outcome and how likely I believed it was to occur. However, the probabilities would inevitably be subjective. I could estimate the likelihood that a psychology degree would create useful future opportunities, but I could not know that in advance. My principal reasoning would therefore be inductive. The evidence could make one option more plausible than another, but it could not guarantee the best outcome. My conclusion should therefore be conditional: psychology appeared to offer the strongest overall balance given the information available, rather than being the only rational choice.</w:t>
      </w:r>
    </w:p>
    <w:p w14:paraId="01BB9788"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I would also test the option I already preferred. Because I was attracted to psychology, confirmation bias could have led me to search for information supporting that choice while giving less attention to evidence against it (Nickerson, 1998). Lord et al. (1984) found that considering the opposite can reduce biased judgement, so I would ask, “What would make </w:t>
      </w:r>
      <w:r w:rsidRPr="005A3362">
        <w:rPr>
          <w:rFonts w:ascii="Times New Roman" w:hAnsi="Times New Roman" w:cs="Times New Roman"/>
        </w:rPr>
        <w:lastRenderedPageBreak/>
        <w:t>this a poor decision?” I would then examine workload, opportunity cost, length of study and uncertain financial return rather than treating enthusiasm as evidence that the choice was right.</w:t>
      </w:r>
    </w:p>
    <w:p w14:paraId="14B0FBCC"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Framing would also matter. Tversky and Kahneman (1981) showed that equivalent choices can produce different preferences depending on whether they are presented as gains or losses. I could frame the decision as “giving up an established banking career” or “adding a new area of expertise”. Prospect theory similarly suggests that outcomes are evaluated relative to a reference point and people can become particularly sensitive to perceived losses (Kahneman &amp; Tversky, 1979). The time already invested in banking could also create a sunk-cost effect if I treated previous investment as a reason to remain regardless of future value (Arkes &amp; Blumer, 1985).</w:t>
      </w:r>
    </w:p>
    <w:p w14:paraId="64B88E36"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I would also consider emotion rather than treating the choice as purely analytical. Excitement about psychology could increase its attractiveness, while anxiety about stepping away from an established identity could make change feel more costly. Emotion can influence judgement systematically, so I would try to distinguish feelings that reflected genuine values from those that temporarily distorted my assessment (Lerner et al., 2015).</w:t>
      </w:r>
    </w:p>
    <w:p w14:paraId="17349AF1"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Looking back now also creates a risk of hindsight bias. Because I know I have enjoyed psychology and progressed academically, the decision can appear more obviously correct than it really was at the time. I cannot use the outcome as proof that the original decision process was good. The module-informed approach would not guarantee a better result, but it would make the process more transparent, less vulnerable to unnoticed bias and more defensible under uncertainty.</w:t>
      </w:r>
    </w:p>
    <w:p w14:paraId="5828C38D" w14:textId="77777777" w:rsidR="005A3362" w:rsidRPr="005A3362" w:rsidRDefault="005A3362" w:rsidP="005A3362">
      <w:pPr>
        <w:pStyle w:val="Heading2"/>
        <w:spacing w:line="480" w:lineRule="auto"/>
      </w:pPr>
      <w:r w:rsidRPr="005A3362">
        <w:lastRenderedPageBreak/>
        <w:t>Problem: Creating a Workable Financial and Attendance-Tracking System</w:t>
      </w:r>
    </w:p>
    <w:p w14:paraId="2EE2D450" w14:textId="77777777" w:rsidR="005A3362" w:rsidRPr="005A3362" w:rsidRDefault="005A3362" w:rsidP="005A3362">
      <w:pPr>
        <w:pStyle w:val="Heading3"/>
        <w:spacing w:line="480" w:lineRule="auto"/>
      </w:pPr>
      <w:r w:rsidRPr="005A3362">
        <w:t>How I approached the problem at the time</w:t>
      </w:r>
    </w:p>
    <w:p w14:paraId="4EF7BD9B"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A separate problem arose after I became General Manager at Southend Mencap. The charity runs several clubs and activities alongside its café, with money coming in through member payments, donations and other income. I needed a clearer way of seeing what each activity had taken, what had been spent, what cash should be handed over and how attendance and VAT could be tracked.</w:t>
      </w:r>
    </w:p>
    <w:p w14:paraId="1131B429"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My response was practical and immediate. I listed the information I needed and began creating forms and spreadsheets. I developed a weekly return to record the date, number of members attending, club fees, donations, expenditure, what money had been spent </w:t>
      </w:r>
      <w:proofErr w:type="gramStart"/>
      <w:r w:rsidRPr="005A3362">
        <w:rPr>
          <w:rFonts w:ascii="Times New Roman" w:hAnsi="Times New Roman" w:cs="Times New Roman"/>
        </w:rPr>
        <w:t>on</w:t>
      </w:r>
      <w:proofErr w:type="gramEnd"/>
      <w:r w:rsidRPr="005A3362">
        <w:rPr>
          <w:rFonts w:ascii="Times New Roman" w:hAnsi="Times New Roman" w:cs="Times New Roman"/>
        </w:rPr>
        <w:t xml:space="preserve"> and the cash being handed in. I then started building a spreadsheet with separate tabs for different activities so income and costs could be followed over time.</w:t>
      </w:r>
    </w:p>
    <w:p w14:paraId="3AD93BFF"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This created more structure quickly, but I moved from recognising the problem to designing a solution almost immediately. I did not first map how information currently moved through the organisation or systematically compare different possible solutions.</w:t>
      </w:r>
    </w:p>
    <w:p w14:paraId="3ADF7AD5" w14:textId="77777777" w:rsidR="005A3362" w:rsidRPr="005A3362" w:rsidRDefault="005A3362" w:rsidP="005A3362">
      <w:pPr>
        <w:pStyle w:val="Heading3"/>
        <w:spacing w:line="480" w:lineRule="auto"/>
      </w:pPr>
      <w:r w:rsidRPr="005A3362">
        <w:t>How I would solve the problem now</w:t>
      </w:r>
    </w:p>
    <w:p w14:paraId="2A780503" w14:textId="4F20914F"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With the module in mind, I would first recognise this as a relatively ill-defined problem. I knew the broad desired outcome</w:t>
      </w:r>
      <w:r>
        <w:rPr>
          <w:rFonts w:ascii="Times New Roman" w:hAnsi="Times New Roman" w:cs="Times New Roman"/>
        </w:rPr>
        <w:t xml:space="preserve">, </w:t>
      </w:r>
      <w:r w:rsidRPr="005A3362">
        <w:rPr>
          <w:rFonts w:ascii="Times New Roman" w:hAnsi="Times New Roman" w:cs="Times New Roman"/>
        </w:rPr>
        <w:t>reliable information about attendance, income, expenditure, cash and VAT</w:t>
      </w:r>
      <w:r>
        <w:rPr>
          <w:rFonts w:ascii="Times New Roman" w:hAnsi="Times New Roman" w:cs="Times New Roman"/>
        </w:rPr>
        <w:t xml:space="preserve">, </w:t>
      </w:r>
      <w:r w:rsidRPr="005A3362">
        <w:rPr>
          <w:rFonts w:ascii="Times New Roman" w:hAnsi="Times New Roman" w:cs="Times New Roman"/>
        </w:rPr>
        <w:t>but neither the exact end-state nor the best route towards it had been fully specified. Newell and Simon’s (1972) problem-space framework would help me separate the existing state, the goal state and the possible operations connecting them.</w:t>
      </w:r>
    </w:p>
    <w:p w14:paraId="59651071"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lastRenderedPageBreak/>
        <w:t>The existing state involved different groups recording information in different ways and limited central visibility. The goal state would be accurate, timely and auditable information that remained simple enough to use. Possible operations included standardising forms, clarifying responsibility, changing when information was recorded, introducing a central spreadsheet, training or accounting software.</w:t>
      </w:r>
    </w:p>
    <w:p w14:paraId="15349C6A"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I would then create an external representation of the problem, such as a simple process map showing how money and information moved from each activity to the central records. Halpern and Dunn (2023) emphasise the usefulness of representing problems clearly because representation can determine which solutions become visible. A process map might reveal that the weakness was not the spreadsheet </w:t>
      </w:r>
      <w:proofErr w:type="gramStart"/>
      <w:r w:rsidRPr="005A3362">
        <w:rPr>
          <w:rFonts w:ascii="Times New Roman" w:hAnsi="Times New Roman" w:cs="Times New Roman"/>
        </w:rPr>
        <w:t>itself</w:t>
      </w:r>
      <w:proofErr w:type="gramEnd"/>
      <w:r w:rsidRPr="005A3362">
        <w:rPr>
          <w:rFonts w:ascii="Times New Roman" w:hAnsi="Times New Roman" w:cs="Times New Roman"/>
        </w:rPr>
        <w:t xml:space="preserve"> but where information was being lost, duplicated or recorded inconsistently.</w:t>
      </w:r>
    </w:p>
    <w:p w14:paraId="1E614E6D"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For a complex problem, I would also use means–ends analysis. I would compare the current position with the desired one and break the gap into subgoals: standardise the information collected, decide who records it, establish when returns are completed, reconcile cash, record VAT consistently and produce useful management information.</w:t>
      </w:r>
    </w:p>
    <w:p w14:paraId="160A5CC1"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Only after doing this </w:t>
      </w:r>
      <w:proofErr w:type="gramStart"/>
      <w:r w:rsidRPr="005A3362">
        <w:rPr>
          <w:rFonts w:ascii="Times New Roman" w:hAnsi="Times New Roman" w:cs="Times New Roman"/>
        </w:rPr>
        <w:t>would</w:t>
      </w:r>
      <w:proofErr w:type="gramEnd"/>
      <w:r w:rsidRPr="005A3362">
        <w:rPr>
          <w:rFonts w:ascii="Times New Roman" w:hAnsi="Times New Roman" w:cs="Times New Roman"/>
        </w:rPr>
        <w:t xml:space="preserve"> I generate alternative solutions. Halpern and Dunn (2023) distinguish decision-making from problem-solving partly because problem-solving often requires us to generate good options before choosing between them. My original approach moved too quickly towards “we need a spreadsheet”. A better process might generate several alternatives: a central spreadsheet, separate activity returns feeding into a master tracker, accounting software, or a hybrid system.</w:t>
      </w:r>
    </w:p>
    <w:p w14:paraId="26951196"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At that point, the problem would temporarily become a decision-making task. I could compare the alternatives against criteria such as accuracy, ease of use, auditability, VAT visibility, cost and training burden. Simon’s (1955) concept of bounded rationality is useful </w:t>
      </w:r>
      <w:r w:rsidRPr="005A3362">
        <w:rPr>
          <w:rFonts w:ascii="Times New Roman" w:hAnsi="Times New Roman" w:cs="Times New Roman"/>
        </w:rPr>
        <w:lastRenderedPageBreak/>
        <w:t>because the theoretically best system may not be the best practical solution. A highly sophisticated system that people do not use consistently would be worse than a simpler system that produces reliable information.</w:t>
      </w:r>
    </w:p>
    <w:p w14:paraId="3FD0672E"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Finally, I would pilot the preferred approach with one or two activities, check whether totals reconciled and ask users which fields were unclear. I would also set a specific implementation rule: after each session, the group lead completes the return before cash is handed over. Such implementation intentions can improve goal attainment (Gollwitzer &amp; Sheeran, 2006). This would introduce verification rather than assuming implementation meant success.</w:t>
      </w:r>
    </w:p>
    <w:p w14:paraId="391338B0" w14:textId="77777777" w:rsidR="005A3362" w:rsidRDefault="005A3362" w:rsidP="005A3362">
      <w:pPr>
        <w:spacing w:line="480" w:lineRule="auto"/>
        <w:rPr>
          <w:rFonts w:ascii="Times New Roman" w:hAnsi="Times New Roman" w:cs="Times New Roman"/>
        </w:rPr>
      </w:pPr>
      <w:r w:rsidRPr="005A3362">
        <w:rPr>
          <w:rFonts w:ascii="Times New Roman" w:hAnsi="Times New Roman" w:cs="Times New Roman"/>
        </w:rPr>
        <w:t>The module-informed approach is more systematic, but it also has costs. Mapping the problem space, generating alternatives and piloting solutions takes time, and excessive analysis could delay action in a small charity where practical problems need resolving quickly. The better approach would be proportionate rather than exhaustive. Compared with my original response, it would be slower at the beginning but more likely to identify the underlying problem and produce a sustainable solution. The key difference is that success would no longer mean “I created a spreadsheet”; it would mean “the organisation now has reliable information that people can and will use”.</w:t>
      </w:r>
    </w:p>
    <w:p w14:paraId="678BBCEE" w14:textId="21910C98" w:rsidR="0018614C" w:rsidRPr="005A3362" w:rsidRDefault="0018614C" w:rsidP="005A3362">
      <w:pPr>
        <w:spacing w:line="480" w:lineRule="auto"/>
        <w:rPr>
          <w:rFonts w:ascii="Times New Roman" w:hAnsi="Times New Roman" w:cs="Times New Roman"/>
        </w:rPr>
      </w:pPr>
      <w:r>
        <w:rPr>
          <w:rFonts w:ascii="Times New Roman" w:hAnsi="Times New Roman" w:cs="Times New Roman"/>
        </w:rPr>
        <w:t>Word Count: 1500</w:t>
      </w:r>
    </w:p>
    <w:p w14:paraId="31727DC6" w14:textId="77777777" w:rsidR="005A3362" w:rsidRPr="005A3362" w:rsidRDefault="005A3362" w:rsidP="005A3362">
      <w:pPr>
        <w:spacing w:line="480" w:lineRule="auto"/>
        <w:rPr>
          <w:rFonts w:ascii="Times New Roman" w:hAnsi="Times New Roman" w:cs="Times New Roman"/>
          <w:b/>
          <w:bCs/>
        </w:rPr>
      </w:pPr>
      <w:r w:rsidRPr="005A3362">
        <w:rPr>
          <w:rFonts w:ascii="Times New Roman" w:hAnsi="Times New Roman" w:cs="Times New Roman"/>
          <w:b/>
          <w:bCs/>
        </w:rPr>
        <w:t>References</w:t>
      </w:r>
    </w:p>
    <w:p w14:paraId="104FD380"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Arkes, H. R., &amp; Blumer, C. (1985). The psychology of sunk cost. </w:t>
      </w:r>
      <w:r w:rsidRPr="005A3362">
        <w:rPr>
          <w:rFonts w:ascii="Times New Roman" w:hAnsi="Times New Roman" w:cs="Times New Roman"/>
          <w:i/>
          <w:iCs/>
        </w:rPr>
        <w:t xml:space="preserve">Organizational </w:t>
      </w:r>
      <w:proofErr w:type="spellStart"/>
      <w:r w:rsidRPr="005A3362">
        <w:rPr>
          <w:rFonts w:ascii="Times New Roman" w:hAnsi="Times New Roman" w:cs="Times New Roman"/>
          <w:i/>
          <w:iCs/>
        </w:rPr>
        <w:t>Behavior</w:t>
      </w:r>
      <w:proofErr w:type="spellEnd"/>
      <w:r w:rsidRPr="005A3362">
        <w:rPr>
          <w:rFonts w:ascii="Times New Roman" w:hAnsi="Times New Roman" w:cs="Times New Roman"/>
          <w:i/>
          <w:iCs/>
        </w:rPr>
        <w:t xml:space="preserve"> and Human Decision Processes, 35</w:t>
      </w:r>
      <w:r w:rsidRPr="005A3362">
        <w:rPr>
          <w:rFonts w:ascii="Times New Roman" w:hAnsi="Times New Roman" w:cs="Times New Roman"/>
        </w:rPr>
        <w:t xml:space="preserve">(1), 124–140. </w:t>
      </w:r>
      <w:hyperlink r:id="rId6" w:history="1">
        <w:r w:rsidRPr="005A3362">
          <w:rPr>
            <w:rStyle w:val="Hyperlink"/>
            <w:rFonts w:ascii="Times New Roman" w:hAnsi="Times New Roman" w:cs="Times New Roman"/>
          </w:rPr>
          <w:t>https://doi.org/10.1016/0749-5978(85)90049-4</w:t>
        </w:r>
      </w:hyperlink>
    </w:p>
    <w:p w14:paraId="61717C50"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lastRenderedPageBreak/>
        <w:t xml:space="preserve">Gollwitzer, P. M., &amp; Sheeran, P. (2006). Implementation intentions and goal achievement: A meta-analysis of effects and processes. </w:t>
      </w:r>
      <w:r w:rsidRPr="005A3362">
        <w:rPr>
          <w:rFonts w:ascii="Times New Roman" w:hAnsi="Times New Roman" w:cs="Times New Roman"/>
          <w:i/>
          <w:iCs/>
        </w:rPr>
        <w:t>Advances in Experimental Social Psychology, 38</w:t>
      </w:r>
      <w:r w:rsidRPr="005A3362">
        <w:rPr>
          <w:rFonts w:ascii="Times New Roman" w:hAnsi="Times New Roman" w:cs="Times New Roman"/>
        </w:rPr>
        <w:t xml:space="preserve">, 69–119. </w:t>
      </w:r>
      <w:hyperlink r:id="rId7" w:history="1">
        <w:r w:rsidRPr="005A3362">
          <w:rPr>
            <w:rStyle w:val="Hyperlink"/>
            <w:rFonts w:ascii="Times New Roman" w:hAnsi="Times New Roman" w:cs="Times New Roman"/>
          </w:rPr>
          <w:t>https://doi.org/10.1016/S0065-2601(06)38002-1</w:t>
        </w:r>
      </w:hyperlink>
    </w:p>
    <w:p w14:paraId="59BAE659"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Halpern, D. F., &amp; Dunn, D. S. (2023). </w:t>
      </w:r>
      <w:r w:rsidRPr="005A3362">
        <w:rPr>
          <w:rFonts w:ascii="Times New Roman" w:hAnsi="Times New Roman" w:cs="Times New Roman"/>
          <w:i/>
          <w:iCs/>
        </w:rPr>
        <w:t>Thought and knowledge: An introduction to critical thinking</w:t>
      </w:r>
      <w:r w:rsidRPr="005A3362">
        <w:rPr>
          <w:rFonts w:ascii="Times New Roman" w:hAnsi="Times New Roman" w:cs="Times New Roman"/>
        </w:rPr>
        <w:t xml:space="preserve"> (6th ed.). Psychology Press.</w:t>
      </w:r>
    </w:p>
    <w:p w14:paraId="7223C3A3" w14:textId="77777777" w:rsidR="005A3362" w:rsidRPr="005A3362" w:rsidRDefault="005A3362" w:rsidP="005A3362">
      <w:pPr>
        <w:spacing w:line="480" w:lineRule="auto"/>
        <w:rPr>
          <w:rFonts w:ascii="Times New Roman" w:hAnsi="Times New Roman" w:cs="Times New Roman"/>
          <w:lang w:val="it-IT"/>
        </w:rPr>
      </w:pPr>
      <w:r w:rsidRPr="005A3362">
        <w:rPr>
          <w:rFonts w:ascii="Times New Roman" w:hAnsi="Times New Roman" w:cs="Times New Roman"/>
        </w:rPr>
        <w:t xml:space="preserve">Kahneman, D., &amp; Tversky, A. (1979). Prospect theory: An analysis of decision under risk. </w:t>
      </w:r>
      <w:r w:rsidRPr="005A3362">
        <w:rPr>
          <w:rFonts w:ascii="Times New Roman" w:hAnsi="Times New Roman" w:cs="Times New Roman"/>
          <w:i/>
          <w:iCs/>
          <w:lang w:val="it-IT"/>
        </w:rPr>
        <w:t>Econometrica, 47</w:t>
      </w:r>
      <w:r w:rsidRPr="005A3362">
        <w:rPr>
          <w:rFonts w:ascii="Times New Roman" w:hAnsi="Times New Roman" w:cs="Times New Roman"/>
          <w:lang w:val="it-IT"/>
        </w:rPr>
        <w:t xml:space="preserve">(2), 263–292. </w:t>
      </w:r>
      <w:hyperlink r:id="rId8" w:history="1">
        <w:r w:rsidRPr="005A3362">
          <w:rPr>
            <w:rStyle w:val="Hyperlink"/>
            <w:rFonts w:ascii="Times New Roman" w:hAnsi="Times New Roman" w:cs="Times New Roman"/>
            <w:lang w:val="it-IT"/>
          </w:rPr>
          <w:t>https://doi.org/10.2307/1914185</w:t>
        </w:r>
      </w:hyperlink>
    </w:p>
    <w:p w14:paraId="61154637" w14:textId="77777777" w:rsidR="005A3362" w:rsidRPr="005A3362" w:rsidRDefault="005A3362" w:rsidP="005A3362">
      <w:pPr>
        <w:spacing w:line="480" w:lineRule="auto"/>
        <w:rPr>
          <w:rFonts w:ascii="Times New Roman" w:hAnsi="Times New Roman" w:cs="Times New Roman"/>
          <w:lang w:val="it-IT"/>
        </w:rPr>
      </w:pPr>
      <w:r w:rsidRPr="005A3362">
        <w:rPr>
          <w:rFonts w:ascii="Times New Roman" w:hAnsi="Times New Roman" w:cs="Times New Roman"/>
          <w:lang w:val="it-IT"/>
        </w:rPr>
        <w:t xml:space="preserve">Lerner, J. S., Li, Y., </w:t>
      </w:r>
      <w:proofErr w:type="spellStart"/>
      <w:r w:rsidRPr="005A3362">
        <w:rPr>
          <w:rFonts w:ascii="Times New Roman" w:hAnsi="Times New Roman" w:cs="Times New Roman"/>
          <w:lang w:val="it-IT"/>
        </w:rPr>
        <w:t>Valdesolo</w:t>
      </w:r>
      <w:proofErr w:type="spellEnd"/>
      <w:r w:rsidRPr="005A3362">
        <w:rPr>
          <w:rFonts w:ascii="Times New Roman" w:hAnsi="Times New Roman" w:cs="Times New Roman"/>
          <w:lang w:val="it-IT"/>
        </w:rPr>
        <w:t xml:space="preserve">, P., &amp; Kassam, K. S. (2015). </w:t>
      </w:r>
      <w:r w:rsidRPr="005A3362">
        <w:rPr>
          <w:rFonts w:ascii="Times New Roman" w:hAnsi="Times New Roman" w:cs="Times New Roman"/>
        </w:rPr>
        <w:t xml:space="preserve">Emotion and decision making. </w:t>
      </w:r>
      <w:r w:rsidRPr="005A3362">
        <w:rPr>
          <w:rFonts w:ascii="Times New Roman" w:hAnsi="Times New Roman" w:cs="Times New Roman"/>
          <w:i/>
          <w:iCs/>
        </w:rPr>
        <w:t>Annual Review of Psychology, 66</w:t>
      </w:r>
      <w:r w:rsidRPr="005A3362">
        <w:rPr>
          <w:rFonts w:ascii="Times New Roman" w:hAnsi="Times New Roman" w:cs="Times New Roman"/>
        </w:rPr>
        <w:t xml:space="preserve">, 799–823. </w:t>
      </w:r>
      <w:hyperlink r:id="rId9" w:history="1">
        <w:r w:rsidRPr="005A3362">
          <w:rPr>
            <w:rStyle w:val="Hyperlink"/>
            <w:rFonts w:ascii="Times New Roman" w:hAnsi="Times New Roman" w:cs="Times New Roman"/>
            <w:lang w:val="it-IT"/>
          </w:rPr>
          <w:t>https://doi.org/10.1146/annurev-psych-010213-115043</w:t>
        </w:r>
      </w:hyperlink>
    </w:p>
    <w:p w14:paraId="08338B85"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lang w:val="it-IT"/>
        </w:rPr>
        <w:t xml:space="preserve">Lord, C. G., Lepper, M. R., &amp; Preston, E. (1984). </w:t>
      </w:r>
      <w:r w:rsidRPr="005A3362">
        <w:rPr>
          <w:rFonts w:ascii="Times New Roman" w:hAnsi="Times New Roman" w:cs="Times New Roman"/>
        </w:rPr>
        <w:t xml:space="preserve">Considering the opposite: A corrective strategy for social judgment. </w:t>
      </w:r>
      <w:r w:rsidRPr="005A3362">
        <w:rPr>
          <w:rFonts w:ascii="Times New Roman" w:hAnsi="Times New Roman" w:cs="Times New Roman"/>
          <w:i/>
          <w:iCs/>
        </w:rPr>
        <w:t>Journal of Personality and Social Psychology, 47</w:t>
      </w:r>
      <w:r w:rsidRPr="005A3362">
        <w:rPr>
          <w:rFonts w:ascii="Times New Roman" w:hAnsi="Times New Roman" w:cs="Times New Roman"/>
        </w:rPr>
        <w:t xml:space="preserve">(6), 1231–1243. </w:t>
      </w:r>
      <w:hyperlink r:id="rId10" w:history="1">
        <w:r w:rsidRPr="005A3362">
          <w:rPr>
            <w:rStyle w:val="Hyperlink"/>
            <w:rFonts w:ascii="Times New Roman" w:hAnsi="Times New Roman" w:cs="Times New Roman"/>
          </w:rPr>
          <w:t>https://doi.org/10.1037/0022-3514.47.6.1231</w:t>
        </w:r>
      </w:hyperlink>
    </w:p>
    <w:p w14:paraId="3C7C1122"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Newell, A., &amp; Simon, H. A. (1972). </w:t>
      </w:r>
      <w:r w:rsidRPr="005A3362">
        <w:rPr>
          <w:rFonts w:ascii="Times New Roman" w:hAnsi="Times New Roman" w:cs="Times New Roman"/>
          <w:i/>
          <w:iCs/>
        </w:rPr>
        <w:t>Human problem solving</w:t>
      </w:r>
      <w:r w:rsidRPr="005A3362">
        <w:rPr>
          <w:rFonts w:ascii="Times New Roman" w:hAnsi="Times New Roman" w:cs="Times New Roman"/>
        </w:rPr>
        <w:t>. Prentice-Hall.</w:t>
      </w:r>
    </w:p>
    <w:p w14:paraId="7EAA1872"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Nickerson, R. S. (1998). Confirmation bias: A ubiquitous phenomenon in many guises. </w:t>
      </w:r>
      <w:r w:rsidRPr="005A3362">
        <w:rPr>
          <w:rFonts w:ascii="Times New Roman" w:hAnsi="Times New Roman" w:cs="Times New Roman"/>
          <w:i/>
          <w:iCs/>
        </w:rPr>
        <w:t>Review of General Psychology, 2</w:t>
      </w:r>
      <w:r w:rsidRPr="005A3362">
        <w:rPr>
          <w:rFonts w:ascii="Times New Roman" w:hAnsi="Times New Roman" w:cs="Times New Roman"/>
        </w:rPr>
        <w:t xml:space="preserve">(2), 175–220. </w:t>
      </w:r>
      <w:hyperlink r:id="rId11" w:history="1">
        <w:r w:rsidRPr="005A3362">
          <w:rPr>
            <w:rStyle w:val="Hyperlink"/>
            <w:rFonts w:ascii="Times New Roman" w:hAnsi="Times New Roman" w:cs="Times New Roman"/>
          </w:rPr>
          <w:t>https://doi.org/10.1037/1089-2680.2.2.175</w:t>
        </w:r>
      </w:hyperlink>
    </w:p>
    <w:p w14:paraId="5E78B81C"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Simon, H. A. (1955). A </w:t>
      </w:r>
      <w:proofErr w:type="spellStart"/>
      <w:r w:rsidRPr="005A3362">
        <w:rPr>
          <w:rFonts w:ascii="Times New Roman" w:hAnsi="Times New Roman" w:cs="Times New Roman"/>
        </w:rPr>
        <w:t>behavioral</w:t>
      </w:r>
      <w:proofErr w:type="spellEnd"/>
      <w:r w:rsidRPr="005A3362">
        <w:rPr>
          <w:rFonts w:ascii="Times New Roman" w:hAnsi="Times New Roman" w:cs="Times New Roman"/>
        </w:rPr>
        <w:t xml:space="preserve"> model of rational choice. </w:t>
      </w:r>
      <w:r w:rsidRPr="005A3362">
        <w:rPr>
          <w:rFonts w:ascii="Times New Roman" w:hAnsi="Times New Roman" w:cs="Times New Roman"/>
          <w:i/>
          <w:iCs/>
        </w:rPr>
        <w:t>The Quarterly Journal of Economics, 69</w:t>
      </w:r>
      <w:r w:rsidRPr="005A3362">
        <w:rPr>
          <w:rFonts w:ascii="Times New Roman" w:hAnsi="Times New Roman" w:cs="Times New Roman"/>
        </w:rPr>
        <w:t xml:space="preserve">(1), 99–118. </w:t>
      </w:r>
      <w:hyperlink r:id="rId12" w:history="1">
        <w:r w:rsidRPr="005A3362">
          <w:rPr>
            <w:rStyle w:val="Hyperlink"/>
            <w:rFonts w:ascii="Times New Roman" w:hAnsi="Times New Roman" w:cs="Times New Roman"/>
          </w:rPr>
          <w:t>https://doi.org/10.2307/1884852</w:t>
        </w:r>
      </w:hyperlink>
    </w:p>
    <w:p w14:paraId="583BFD30" w14:textId="77777777" w:rsidR="005A3362" w:rsidRPr="005A3362" w:rsidRDefault="005A3362" w:rsidP="005A3362">
      <w:pPr>
        <w:spacing w:line="480" w:lineRule="auto"/>
        <w:rPr>
          <w:rFonts w:ascii="Times New Roman" w:hAnsi="Times New Roman" w:cs="Times New Roman"/>
        </w:rPr>
      </w:pPr>
      <w:r w:rsidRPr="005A3362">
        <w:rPr>
          <w:rFonts w:ascii="Times New Roman" w:hAnsi="Times New Roman" w:cs="Times New Roman"/>
        </w:rPr>
        <w:t xml:space="preserve">Tversky, A., &amp; Kahneman, D. (1981). The framing of decisions and the psychology of choice. </w:t>
      </w:r>
      <w:r w:rsidRPr="005A3362">
        <w:rPr>
          <w:rFonts w:ascii="Times New Roman" w:hAnsi="Times New Roman" w:cs="Times New Roman"/>
          <w:i/>
          <w:iCs/>
        </w:rPr>
        <w:t>Science, 211</w:t>
      </w:r>
      <w:r w:rsidRPr="005A3362">
        <w:rPr>
          <w:rFonts w:ascii="Times New Roman" w:hAnsi="Times New Roman" w:cs="Times New Roman"/>
        </w:rPr>
        <w:t xml:space="preserve">(4481), 453–458. </w:t>
      </w:r>
      <w:hyperlink r:id="rId13" w:history="1">
        <w:r w:rsidRPr="005A3362">
          <w:rPr>
            <w:rStyle w:val="Hyperlink"/>
            <w:rFonts w:ascii="Times New Roman" w:hAnsi="Times New Roman" w:cs="Times New Roman"/>
          </w:rPr>
          <w:t>https://doi.org/10.1126/science.7455683</w:t>
        </w:r>
      </w:hyperlink>
    </w:p>
    <w:p w14:paraId="11DB4522" w14:textId="77777777" w:rsidR="005A3362" w:rsidRPr="005A3362" w:rsidRDefault="005A3362" w:rsidP="005A3362">
      <w:pPr>
        <w:spacing w:line="480" w:lineRule="auto"/>
        <w:rPr>
          <w:rFonts w:ascii="Times New Roman" w:hAnsi="Times New Roman" w:cs="Times New Roman"/>
        </w:rPr>
      </w:pPr>
    </w:p>
    <w:sectPr w:rsidR="005A3362" w:rsidRPr="005A336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C62A" w14:textId="77777777" w:rsidR="004A570F" w:rsidRDefault="004A570F" w:rsidP="005A3362">
      <w:pPr>
        <w:spacing w:after="0" w:line="240" w:lineRule="auto"/>
      </w:pPr>
      <w:r>
        <w:separator/>
      </w:r>
    </w:p>
  </w:endnote>
  <w:endnote w:type="continuationSeparator" w:id="0">
    <w:p w14:paraId="2955DB61" w14:textId="77777777" w:rsidR="004A570F" w:rsidRDefault="004A570F" w:rsidP="005A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697248"/>
      <w:docPartObj>
        <w:docPartGallery w:val="Page Numbers (Bottom of Page)"/>
        <w:docPartUnique/>
      </w:docPartObj>
    </w:sdtPr>
    <w:sdtContent>
      <w:p w14:paraId="730BE5B5" w14:textId="65BDCDA0" w:rsidR="005A3362" w:rsidRDefault="005A3362">
        <w:pPr>
          <w:pStyle w:val="Footer"/>
          <w:jc w:val="center"/>
        </w:pPr>
        <w:r>
          <w:fldChar w:fldCharType="begin"/>
        </w:r>
        <w:r>
          <w:instrText>PAGE   \* MERGEFORMAT</w:instrText>
        </w:r>
        <w:r>
          <w:fldChar w:fldCharType="separate"/>
        </w:r>
        <w:r>
          <w:t>2</w:t>
        </w:r>
        <w:r>
          <w:fldChar w:fldCharType="end"/>
        </w:r>
      </w:p>
    </w:sdtContent>
  </w:sdt>
  <w:p w14:paraId="3229FDE6" w14:textId="77777777" w:rsidR="005A3362" w:rsidRDefault="005A3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A22D8" w14:textId="77777777" w:rsidR="004A570F" w:rsidRDefault="004A570F" w:rsidP="005A3362">
      <w:pPr>
        <w:spacing w:after="0" w:line="240" w:lineRule="auto"/>
      </w:pPr>
      <w:r>
        <w:separator/>
      </w:r>
    </w:p>
  </w:footnote>
  <w:footnote w:type="continuationSeparator" w:id="0">
    <w:p w14:paraId="6A6CF6B6" w14:textId="77777777" w:rsidR="004A570F" w:rsidRDefault="004A570F" w:rsidP="005A33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362"/>
    <w:rsid w:val="0018614C"/>
    <w:rsid w:val="004A570F"/>
    <w:rsid w:val="004E7204"/>
    <w:rsid w:val="005A33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9003"/>
  <w15:chartTrackingRefBased/>
  <w15:docId w15:val="{A24BB823-1918-4F83-AE0B-C663EACC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362"/>
    <w:rPr>
      <w:rFonts w:eastAsiaTheme="majorEastAsia" w:cstheme="majorBidi"/>
      <w:color w:val="272727" w:themeColor="text1" w:themeTint="D8"/>
    </w:rPr>
  </w:style>
  <w:style w:type="paragraph" w:styleId="Title">
    <w:name w:val="Title"/>
    <w:basedOn w:val="Normal"/>
    <w:next w:val="Normal"/>
    <w:link w:val="TitleChar"/>
    <w:uiPriority w:val="10"/>
    <w:qFormat/>
    <w:rsid w:val="005A3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362"/>
    <w:pPr>
      <w:spacing w:before="160"/>
      <w:jc w:val="center"/>
    </w:pPr>
    <w:rPr>
      <w:i/>
      <w:iCs/>
      <w:color w:val="404040" w:themeColor="text1" w:themeTint="BF"/>
    </w:rPr>
  </w:style>
  <w:style w:type="character" w:customStyle="1" w:styleId="QuoteChar">
    <w:name w:val="Quote Char"/>
    <w:basedOn w:val="DefaultParagraphFont"/>
    <w:link w:val="Quote"/>
    <w:uiPriority w:val="29"/>
    <w:rsid w:val="005A3362"/>
    <w:rPr>
      <w:i/>
      <w:iCs/>
      <w:color w:val="404040" w:themeColor="text1" w:themeTint="BF"/>
    </w:rPr>
  </w:style>
  <w:style w:type="paragraph" w:styleId="ListParagraph">
    <w:name w:val="List Paragraph"/>
    <w:basedOn w:val="Normal"/>
    <w:uiPriority w:val="34"/>
    <w:qFormat/>
    <w:rsid w:val="005A3362"/>
    <w:pPr>
      <w:ind w:left="720"/>
      <w:contextualSpacing/>
    </w:pPr>
  </w:style>
  <w:style w:type="character" w:styleId="IntenseEmphasis">
    <w:name w:val="Intense Emphasis"/>
    <w:basedOn w:val="DefaultParagraphFont"/>
    <w:uiPriority w:val="21"/>
    <w:qFormat/>
    <w:rsid w:val="005A3362"/>
    <w:rPr>
      <w:i/>
      <w:iCs/>
      <w:color w:val="0F4761" w:themeColor="accent1" w:themeShade="BF"/>
    </w:rPr>
  </w:style>
  <w:style w:type="paragraph" w:styleId="IntenseQuote">
    <w:name w:val="Intense Quote"/>
    <w:basedOn w:val="Normal"/>
    <w:next w:val="Normal"/>
    <w:link w:val="IntenseQuoteChar"/>
    <w:uiPriority w:val="30"/>
    <w:qFormat/>
    <w:rsid w:val="005A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362"/>
    <w:rPr>
      <w:i/>
      <w:iCs/>
      <w:color w:val="0F4761" w:themeColor="accent1" w:themeShade="BF"/>
    </w:rPr>
  </w:style>
  <w:style w:type="character" w:styleId="IntenseReference">
    <w:name w:val="Intense Reference"/>
    <w:basedOn w:val="DefaultParagraphFont"/>
    <w:uiPriority w:val="32"/>
    <w:qFormat/>
    <w:rsid w:val="005A3362"/>
    <w:rPr>
      <w:b/>
      <w:bCs/>
      <w:smallCaps/>
      <w:color w:val="0F4761" w:themeColor="accent1" w:themeShade="BF"/>
      <w:spacing w:val="5"/>
    </w:rPr>
  </w:style>
  <w:style w:type="character" w:styleId="Hyperlink">
    <w:name w:val="Hyperlink"/>
    <w:basedOn w:val="DefaultParagraphFont"/>
    <w:uiPriority w:val="99"/>
    <w:unhideWhenUsed/>
    <w:rsid w:val="005A3362"/>
    <w:rPr>
      <w:color w:val="467886" w:themeColor="hyperlink"/>
      <w:u w:val="single"/>
    </w:rPr>
  </w:style>
  <w:style w:type="character" w:styleId="UnresolvedMention">
    <w:name w:val="Unresolved Mention"/>
    <w:basedOn w:val="DefaultParagraphFont"/>
    <w:uiPriority w:val="99"/>
    <w:semiHidden/>
    <w:unhideWhenUsed/>
    <w:rsid w:val="005A3362"/>
    <w:rPr>
      <w:color w:val="605E5C"/>
      <w:shd w:val="clear" w:color="auto" w:fill="E1DFDD"/>
    </w:rPr>
  </w:style>
  <w:style w:type="paragraph" w:styleId="Header">
    <w:name w:val="header"/>
    <w:basedOn w:val="Normal"/>
    <w:link w:val="HeaderChar"/>
    <w:uiPriority w:val="99"/>
    <w:unhideWhenUsed/>
    <w:rsid w:val="005A3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362"/>
  </w:style>
  <w:style w:type="paragraph" w:styleId="Footer">
    <w:name w:val="footer"/>
    <w:basedOn w:val="Normal"/>
    <w:link w:val="FooterChar"/>
    <w:uiPriority w:val="99"/>
    <w:unhideWhenUsed/>
    <w:rsid w:val="005A3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1914185" TargetMode="External"/><Relationship Id="rId13" Type="http://schemas.openxmlformats.org/officeDocument/2006/relationships/hyperlink" Target="https://doi.org/10.1126/science.7455683" TargetMode="External"/><Relationship Id="rId3" Type="http://schemas.openxmlformats.org/officeDocument/2006/relationships/webSettings" Target="webSettings.xml"/><Relationship Id="rId7" Type="http://schemas.openxmlformats.org/officeDocument/2006/relationships/hyperlink" Target="https://doi.org/10.1016/S0065-2601(06)38002-1" TargetMode="External"/><Relationship Id="rId12" Type="http://schemas.openxmlformats.org/officeDocument/2006/relationships/hyperlink" Target="https://doi.org/10.2307/1884852"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16/0749-5978(85)90049-4" TargetMode="External"/><Relationship Id="rId11" Type="http://schemas.openxmlformats.org/officeDocument/2006/relationships/hyperlink" Target="https://doi.org/10.1037/1089-2680.2.2.175"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10.1037/0022-3514.47.6.1231" TargetMode="External"/><Relationship Id="rId4" Type="http://schemas.openxmlformats.org/officeDocument/2006/relationships/footnotes" Target="footnotes.xml"/><Relationship Id="rId9" Type="http://schemas.openxmlformats.org/officeDocument/2006/relationships/hyperlink" Target="https://doi.org/10.1146/annurev-psych-010213-11504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Paxman</dc:creator>
  <cp:keywords/>
  <dc:description/>
  <cp:lastModifiedBy>Sharon Paxman</cp:lastModifiedBy>
  <cp:revision>2</cp:revision>
  <dcterms:created xsi:type="dcterms:W3CDTF">2026-10-01T18:30:00Z</dcterms:created>
  <dcterms:modified xsi:type="dcterms:W3CDTF">2026-10-01T18:40:00Z</dcterms:modified>
</cp:coreProperties>
</file>