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2FFAA" w14:textId="642B1EEE"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b/>
          <w:bCs/>
        </w:rPr>
        <w:t>Important Decision</w:t>
      </w:r>
      <w:r w:rsidR="00B00B60" w:rsidRPr="00B00B60">
        <w:rPr>
          <w:rFonts w:asciiTheme="majorBidi" w:hAnsiTheme="majorBidi" w:cstheme="majorBidi"/>
          <w:b/>
          <w:bCs/>
        </w:rPr>
        <w:t xml:space="preserve"> I made -</w:t>
      </w:r>
      <w:r w:rsidRPr="00B00B60">
        <w:rPr>
          <w:rFonts w:asciiTheme="majorBidi" w:hAnsiTheme="majorBidi" w:cstheme="majorBidi"/>
          <w:b/>
          <w:bCs/>
        </w:rPr>
        <w:t xml:space="preserve"> Relocating to Dubai</w:t>
      </w:r>
    </w:p>
    <w:p w14:paraId="7726F41F"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In 2024, I made an important decision to move to Dubai. The opportunity came when a form was circulated in the company I was working for back home.  It asked employees whether they would relocate if an opportunity became available and where they would prefer to move. I chose Dubai. I visited Dubai before, so I knew a bit about the city. One of the reasons I chose Dubai because I felt it was safe based on my previous visits.</w:t>
      </w:r>
    </w:p>
    <w:p w14:paraId="2C704186"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The form was an initial expression of interest only, and there was no certainty when the opportunity would arise. After approximately two years, the opportunity became realistic. I had three months to decide whether to relocate to Dubai or stay in my home country and continue in my current position with the company.</w:t>
      </w:r>
    </w:p>
    <w:p w14:paraId="698E79AF"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During that time, I was not happy with my workplace in my home country, so I felt that taking this opportunity might give me the chance to experience a different working environment. I had also always wanted to study at an internationally accredited university. Moving to Dubai seemed like it would make that possible, because earning in a hard currency would allow me to work and pay my tuition. I also wanted to live somewhere where I felt safer and more secure.</w:t>
      </w:r>
    </w:p>
    <w:p w14:paraId="19DF1DC5"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I consulted my family and friends for their opinions before accepting the offer. I weighed the pros and drawbacks of moving, including the cost of living, housing, being away from family and the international experience. I negotiated my employment package as Dubai was costly, especially for accommodation. I accepted the offer which I considered acceptable and move to Dubai.</w:t>
      </w:r>
    </w:p>
    <w:p w14:paraId="6F8AFCB1" w14:textId="0B4F27D2" w:rsidR="00D1095B" w:rsidRPr="00B00B60" w:rsidRDefault="00D1095B" w:rsidP="00F20D61">
      <w:pPr>
        <w:spacing w:after="100" w:afterAutospacing="1"/>
        <w:ind w:firstLine="720"/>
        <w:rPr>
          <w:rFonts w:asciiTheme="majorBidi" w:hAnsiTheme="majorBidi" w:cstheme="majorBidi"/>
          <w:b/>
          <w:bCs/>
        </w:rPr>
      </w:pPr>
      <w:r w:rsidRPr="00B00B60">
        <w:rPr>
          <w:rFonts w:asciiTheme="majorBidi" w:hAnsiTheme="majorBidi" w:cstheme="majorBidi"/>
          <w:b/>
          <w:bCs/>
        </w:rPr>
        <w:t xml:space="preserve">Rewinding the Decision </w:t>
      </w:r>
      <w:r w:rsidRPr="00B00B60">
        <w:rPr>
          <w:rFonts w:asciiTheme="majorBidi" w:hAnsiTheme="majorBidi" w:cstheme="majorBidi"/>
          <w:b/>
          <w:bCs/>
        </w:rPr>
        <w:t>considering</w:t>
      </w:r>
      <w:r w:rsidRPr="00B00B60">
        <w:rPr>
          <w:rFonts w:asciiTheme="majorBidi" w:hAnsiTheme="majorBidi" w:cstheme="majorBidi"/>
          <w:b/>
          <w:bCs/>
        </w:rPr>
        <w:t xml:space="preserve"> Module Knowledge</w:t>
      </w:r>
    </w:p>
    <w:p w14:paraId="6CA24CF0" w14:textId="3448FFD2"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If I were to make the decision again, having learnt from the module, I would approach it in a more systematic way. Halpern and Dunn (2023) describe decision making as the consideration and evaluation of alternatives. So, I would start by framing the issue in a broader context, rather than as a choice between moving to Dubai or staying in my home country. I would weigh up which would be best for my profession, my income, my study and my personal circumstances.</w:t>
      </w:r>
    </w:p>
    <w:p w14:paraId="296E7F76"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Then I would come up with all viable alternatives. At that time, I had two options: either to stay in my country or to move to Dubai. I did not think of the possibility of working remotely from my own country. If I could go back, I would have investigated this option before I chose, rather than assuming it was not available.</w:t>
      </w:r>
    </w:p>
    <w:p w14:paraId="0F1C977B"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I would also try to identify and weigh up the important issues, such as finances, professional growth, international experience, education, safety, family and social support, cost of living, cultural adjustment and working conditions. This would mean that I would be able to compare the possibilities more systematically and not just focus on the employment deal.</w:t>
      </w:r>
    </w:p>
    <w:p w14:paraId="56EBF358" w14:textId="6117A24E"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lastRenderedPageBreak/>
        <w:t>One thing I would do differently is distinguish between what I truly knew and what I was only assuming. I knew I had felt comfortable during my previous visits to Dubai and that I would continue working for the same employer, but I knew very little about the Dubai office, the cost of living, or how quickly I would adapt socially. Looking back, many of my expectations were really assumptions I hadn’t checked properly. If I were making the decision again, I would take a more systematic approach and gather the information for example, whether my income could realistically cover both tuition and living expenses (Halpern &amp; Dunn, 2023)</w:t>
      </w:r>
    </w:p>
    <w:p w14:paraId="34E35082" w14:textId="6CE9A678"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 xml:space="preserve">I would also consider whether I was affected by cognitive biases in my decision. Perhaps the good experience I had on a prior vacation to Dubai had some influence on the decision to </w:t>
      </w:r>
      <w:r w:rsidRPr="00B00B60">
        <w:rPr>
          <w:rFonts w:asciiTheme="majorBidi" w:hAnsiTheme="majorBidi" w:cstheme="majorBidi"/>
        </w:rPr>
        <w:t>move. Kahneman</w:t>
      </w:r>
      <w:r w:rsidRPr="00B00B60">
        <w:rPr>
          <w:rFonts w:asciiTheme="majorBidi" w:hAnsiTheme="majorBidi" w:cstheme="majorBidi"/>
        </w:rPr>
        <w:t xml:space="preserve"> (2011) explains that intuitive perceptions might affect the way we perceive events. Therefore, I would wonder whether those good experiences caused me to miss the aspects I understood less. I would also think about optimism bias the tendency to expect favourable outcomes and downplay possible challenges (Sharot, 2011). Speaking to people who were </w:t>
      </w:r>
      <w:r w:rsidRPr="00B00B60">
        <w:rPr>
          <w:rFonts w:asciiTheme="majorBidi" w:hAnsiTheme="majorBidi" w:cstheme="majorBidi"/>
        </w:rPr>
        <w:t>living</w:t>
      </w:r>
      <w:r w:rsidRPr="00B00B60">
        <w:rPr>
          <w:rFonts w:asciiTheme="majorBidi" w:hAnsiTheme="majorBidi" w:cstheme="majorBidi"/>
        </w:rPr>
        <w:t xml:space="preserve"> and working in Dubai might have given me a more grounded and realistic picture.</w:t>
      </w:r>
    </w:p>
    <w:p w14:paraId="0F946764"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b/>
          <w:bCs/>
        </w:rPr>
        <w:t>Thoughts on the Two Methods</w:t>
      </w:r>
    </w:p>
    <w:p w14:paraId="4B4F2AD7"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My original method was not based on one factor. I weighed up the pros and cons, spoke to family and friends, examined the financial consequences and negotiated my employment package. But I was not well informed and had not thought of all the alternatives.</w:t>
      </w:r>
    </w:p>
    <w:p w14:paraId="372B46D5"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A module-informed approach would have been more systematic and may have helped me make a more informed selection. Although it may not have made any difference. I cared about international experience, education, safety and professional advancement, so I might have still chosen Dubai. The difference is that I might have known the uncertainties and the challenges better before the decision.</w:t>
      </w:r>
    </w:p>
    <w:p w14:paraId="32F1EF66" w14:textId="2367FCE2" w:rsidR="00B00B60" w:rsidRPr="00B00B60" w:rsidRDefault="00B00B60" w:rsidP="00F20D61">
      <w:pPr>
        <w:spacing w:after="100" w:afterAutospacing="1"/>
        <w:ind w:firstLine="720"/>
        <w:rPr>
          <w:rFonts w:asciiTheme="majorBidi" w:hAnsiTheme="majorBidi" w:cstheme="majorBidi"/>
          <w:b/>
          <w:bCs/>
        </w:rPr>
      </w:pPr>
      <w:r w:rsidRPr="00B00B60">
        <w:rPr>
          <w:rFonts w:asciiTheme="majorBidi" w:hAnsiTheme="majorBidi" w:cstheme="majorBidi"/>
          <w:b/>
          <w:bCs/>
        </w:rPr>
        <w:t xml:space="preserve">A </w:t>
      </w:r>
      <w:r w:rsidRPr="00B00B60">
        <w:rPr>
          <w:rFonts w:asciiTheme="majorBidi" w:hAnsiTheme="majorBidi" w:cstheme="majorBidi"/>
          <w:b/>
          <w:bCs/>
        </w:rPr>
        <w:t xml:space="preserve">Significant </w:t>
      </w:r>
      <w:r w:rsidRPr="00B00B60">
        <w:rPr>
          <w:rFonts w:asciiTheme="majorBidi" w:hAnsiTheme="majorBidi" w:cstheme="majorBidi"/>
          <w:b/>
          <w:bCs/>
        </w:rPr>
        <w:t>Problem</w:t>
      </w:r>
      <w:r w:rsidRPr="00B00B60">
        <w:rPr>
          <w:rFonts w:asciiTheme="majorBidi" w:hAnsiTheme="majorBidi" w:cstheme="majorBidi"/>
          <w:b/>
          <w:bCs/>
        </w:rPr>
        <w:t xml:space="preserve"> -</w:t>
      </w:r>
      <w:r w:rsidRPr="00B00B60">
        <w:rPr>
          <w:rFonts w:asciiTheme="majorBidi" w:hAnsiTheme="majorBidi" w:cstheme="majorBidi"/>
          <w:b/>
          <w:bCs/>
        </w:rPr>
        <w:t xml:space="preserve"> Having a Hard Time Saying No</w:t>
      </w:r>
    </w:p>
    <w:p w14:paraId="1D3EBD05" w14:textId="2795B680"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 xml:space="preserve">One of my problems </w:t>
      </w:r>
      <w:r w:rsidR="005726CB">
        <w:rPr>
          <w:rFonts w:asciiTheme="majorBidi" w:hAnsiTheme="majorBidi" w:cstheme="majorBidi"/>
        </w:rPr>
        <w:t>I</w:t>
      </w:r>
      <w:r w:rsidRPr="00B00B60">
        <w:rPr>
          <w:rFonts w:asciiTheme="majorBidi" w:hAnsiTheme="majorBidi" w:cstheme="majorBidi"/>
        </w:rPr>
        <w:t xml:space="preserve"> would say is that I often find it difficult to say no to people's requests, especially when I am afraid of disappointing them or seeming impolite. One instance that let me realise this difficulty was when two friends from my home country came to visit me in Dubai.</w:t>
      </w:r>
    </w:p>
    <w:p w14:paraId="0AE61BD9" w14:textId="77777777" w:rsidR="00D1095B"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At first, a friend wanted to visit Dubai, and I volunteered to host the visit. But then there came a second friend. Eventually, I agreed to accommodate them both, although I did not have the space, time or energy to accommodate two people and show them around. They might still have been manageable since they could go around by themselves, I thought at the time.</w:t>
      </w:r>
    </w:p>
    <w:p w14:paraId="7E8F9888" w14:textId="77777777" w:rsidR="00F20D61" w:rsidRPr="00B00B60" w:rsidRDefault="00F20D61" w:rsidP="00F20D61">
      <w:pPr>
        <w:spacing w:after="100" w:afterAutospacing="1"/>
        <w:ind w:firstLine="720"/>
        <w:rPr>
          <w:rFonts w:asciiTheme="majorBidi" w:hAnsiTheme="majorBidi" w:cstheme="majorBidi"/>
        </w:rPr>
      </w:pPr>
    </w:p>
    <w:p w14:paraId="0864234A" w14:textId="77777777" w:rsidR="00F20D61" w:rsidRDefault="00F20D61" w:rsidP="00F20D61">
      <w:pPr>
        <w:spacing w:after="100" w:afterAutospacing="1"/>
        <w:ind w:firstLine="720"/>
        <w:rPr>
          <w:rFonts w:asciiTheme="majorBidi" w:hAnsiTheme="majorBidi" w:cstheme="majorBidi"/>
        </w:rPr>
      </w:pPr>
    </w:p>
    <w:p w14:paraId="38C6FBB2" w14:textId="56C2CC33" w:rsidR="00D1095B" w:rsidRPr="00B00B60" w:rsidRDefault="00D1095B" w:rsidP="00CC22C6">
      <w:pPr>
        <w:spacing w:after="100" w:afterAutospacing="1"/>
        <w:ind w:firstLine="720"/>
        <w:rPr>
          <w:rFonts w:asciiTheme="majorBidi" w:hAnsiTheme="majorBidi" w:cstheme="majorBidi"/>
        </w:rPr>
      </w:pPr>
      <w:r w:rsidRPr="00B00B60">
        <w:rPr>
          <w:rFonts w:asciiTheme="majorBidi" w:hAnsiTheme="majorBidi" w:cstheme="majorBidi"/>
        </w:rPr>
        <w:t>During their visit, we were out all day and night, and I became exhausted. It interfered with many of my own plans, and I regretted saying yes because it turned out to be more than I could handle. I tried my best, but my friends were still unhappy with parts of the visit. That experience taught me that</w:t>
      </w:r>
      <w:r w:rsidR="00CC22C6">
        <w:rPr>
          <w:rFonts w:asciiTheme="majorBidi" w:hAnsiTheme="majorBidi" w:cstheme="majorBidi"/>
        </w:rPr>
        <w:t xml:space="preserve"> </w:t>
      </w:r>
      <w:r w:rsidR="00CC22C6" w:rsidRPr="00CC22C6">
        <w:rPr>
          <w:rFonts w:asciiTheme="majorBidi" w:hAnsiTheme="majorBidi" w:cstheme="majorBidi"/>
        </w:rPr>
        <w:t>even if you say yes and try to meet someone's expectations, you cannot guarantee that they will be satisfied</w:t>
      </w:r>
      <w:r w:rsidRPr="00B00B60">
        <w:rPr>
          <w:rFonts w:asciiTheme="majorBidi" w:hAnsiTheme="majorBidi" w:cstheme="majorBidi"/>
        </w:rPr>
        <w:t xml:space="preserve">. Since then, I started giving myself more time before agreeing </w:t>
      </w:r>
      <w:r w:rsidR="00CC22C6">
        <w:rPr>
          <w:rFonts w:asciiTheme="majorBidi" w:hAnsiTheme="majorBidi" w:cstheme="majorBidi"/>
        </w:rPr>
        <w:t xml:space="preserve">to </w:t>
      </w:r>
      <w:r w:rsidRPr="00B00B60">
        <w:rPr>
          <w:rFonts w:asciiTheme="majorBidi" w:hAnsiTheme="majorBidi" w:cstheme="majorBidi"/>
        </w:rPr>
        <w:t>requests. I’m improving, but it’s still hard for me to say no, especially to people close to me and at work.</w:t>
      </w:r>
    </w:p>
    <w:p w14:paraId="71D6771F" w14:textId="2115F96E" w:rsidR="00D1095B" w:rsidRPr="00B00B60" w:rsidRDefault="00D1095B" w:rsidP="00F20D61">
      <w:pPr>
        <w:spacing w:after="100" w:afterAutospacing="1"/>
        <w:ind w:firstLine="720"/>
        <w:rPr>
          <w:rFonts w:asciiTheme="majorBidi" w:hAnsiTheme="majorBidi" w:cstheme="majorBidi"/>
          <w:b/>
          <w:bCs/>
        </w:rPr>
      </w:pPr>
      <w:r w:rsidRPr="00B00B60">
        <w:rPr>
          <w:rFonts w:asciiTheme="majorBidi" w:hAnsiTheme="majorBidi" w:cstheme="majorBidi"/>
          <w:b/>
          <w:bCs/>
        </w:rPr>
        <w:t xml:space="preserve">Rewinding the </w:t>
      </w:r>
      <w:r w:rsidR="00B00B60" w:rsidRPr="00B00B60">
        <w:rPr>
          <w:rFonts w:asciiTheme="majorBidi" w:hAnsiTheme="majorBidi" w:cstheme="majorBidi"/>
          <w:b/>
          <w:bCs/>
        </w:rPr>
        <w:t xml:space="preserve">Problem-Solving </w:t>
      </w:r>
      <w:r w:rsidRPr="00B00B60">
        <w:rPr>
          <w:rFonts w:asciiTheme="majorBidi" w:hAnsiTheme="majorBidi" w:cstheme="majorBidi"/>
          <w:b/>
          <w:bCs/>
        </w:rPr>
        <w:t>considering</w:t>
      </w:r>
      <w:r w:rsidRPr="00B00B60">
        <w:rPr>
          <w:rFonts w:asciiTheme="majorBidi" w:hAnsiTheme="majorBidi" w:cstheme="majorBidi"/>
          <w:b/>
          <w:bCs/>
        </w:rPr>
        <w:t xml:space="preserve"> Module Knowledge</w:t>
      </w:r>
    </w:p>
    <w:p w14:paraId="14CD7FDA" w14:textId="235B30F5"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 xml:space="preserve">If I could go back to this </w:t>
      </w:r>
      <w:r w:rsidR="00CC22C6" w:rsidRPr="00B00B60">
        <w:rPr>
          <w:rFonts w:asciiTheme="majorBidi" w:hAnsiTheme="majorBidi" w:cstheme="majorBidi"/>
        </w:rPr>
        <w:t>situation</w:t>
      </w:r>
      <w:r w:rsidRPr="00B00B60">
        <w:rPr>
          <w:rFonts w:asciiTheme="majorBidi" w:hAnsiTheme="majorBidi" w:cstheme="majorBidi"/>
        </w:rPr>
        <w:t xml:space="preserve"> using what I have learnt from the module, I would start with a more clearly defined problem. Instead of seeing it as a simple yes or no choice, I would ask myself how I could respond in a way that respects the other person’s needs while also considering my own time, energy, and responsibilities. That would give me space to think about different ways of responding.</w:t>
      </w:r>
    </w:p>
    <w:p w14:paraId="2AAE88B7"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Then I would come up with options before deciding. For instance, I may have agreed to accommodate one friend but said that I could not accommodate two. I could have refused to accommodate them and recommended other places to stay. Or I could have met them on some days, helped them arrange things without going with them, or said that the timing was not good for me. Had I thought of these possibilities, I might not have seen it as a choice between just saying yes or letting my friends down.</w:t>
      </w:r>
    </w:p>
    <w:p w14:paraId="04BFA901"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Another important aspect I would reconsider the assumption on which my initial answer was based. I felt like if I said no, I would be disappointing my friends or maybe ruining the friendship. I could use the module's method for hypothesis testing to consider this as an assumption that could be checked instead of taking it as automatically true (Halpern &amp; Dunn, 2023). I might respectfully deny a reasonable request and see how the person reacts. If the person was disappointed but accepted my decision, that would be evidence that saying no does not necessarily hurt the relationship.</w:t>
      </w:r>
    </w:p>
    <w:p w14:paraId="47C33AA5"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Finally, I would consider consequences of saying yes when I could not help. In the initial situation, answering yes led to tiredness, interference with my own tasks and frustration. So, I would weigh up the short-term possibility of failing someone versus the longer-term effects of taking on something I could not possibly manage.</w:t>
      </w:r>
    </w:p>
    <w:p w14:paraId="27AD9705" w14:textId="4D5E21C5"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b/>
          <w:bCs/>
        </w:rPr>
        <w:t>Two Approaches</w:t>
      </w:r>
      <w:r w:rsidR="00B00B60" w:rsidRPr="00B00B60">
        <w:rPr>
          <w:rFonts w:asciiTheme="majorBidi" w:hAnsiTheme="majorBidi" w:cstheme="majorBidi"/>
          <w:b/>
          <w:bCs/>
        </w:rPr>
        <w:t xml:space="preserve"> -</w:t>
      </w:r>
      <w:r w:rsidRPr="00B00B60">
        <w:rPr>
          <w:rFonts w:asciiTheme="majorBidi" w:hAnsiTheme="majorBidi" w:cstheme="majorBidi"/>
          <w:b/>
          <w:bCs/>
        </w:rPr>
        <w:t xml:space="preserve"> Reflection</w:t>
      </w:r>
    </w:p>
    <w:p w14:paraId="498774CE" w14:textId="77777777" w:rsidR="00D1095B"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My first strategy was mainly to save my friends the instant disappointment. So, I said yes before I even reflected on whether I could do what was asked. I did not give enough thought to the possibilities or the ramifications that could arise for me.</w:t>
      </w:r>
    </w:p>
    <w:p w14:paraId="6FA1C51B" w14:textId="77777777" w:rsidR="00F20D61" w:rsidRPr="00B00B60" w:rsidRDefault="00F20D61" w:rsidP="00F20D61">
      <w:pPr>
        <w:spacing w:after="100" w:afterAutospacing="1"/>
        <w:ind w:firstLine="720"/>
        <w:rPr>
          <w:rFonts w:asciiTheme="majorBidi" w:hAnsiTheme="majorBidi" w:cstheme="majorBidi"/>
        </w:rPr>
      </w:pPr>
    </w:p>
    <w:p w14:paraId="6C98E271" w14:textId="77777777"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lastRenderedPageBreak/>
        <w:t>The module</w:t>
      </w:r>
      <w:r w:rsidRPr="00B00B60">
        <w:rPr>
          <w:rFonts w:asciiTheme="majorBidi" w:hAnsiTheme="majorBidi" w:cstheme="majorBidi"/>
        </w:rPr>
        <w:noBreakHyphen/>
        <w:t>informed approach would give me a more systematic way of responding. I would take time to define the problem, consider different options, identify what really matters, weigh the possible consequences, and question my assumptions before agreeing. This doesn’t mean I would automatically say no. Instead, it would help me find a response that is reasonable for everyone involved.</w:t>
      </w:r>
    </w:p>
    <w:p w14:paraId="40340090" w14:textId="1A8E0E78" w:rsidR="00D1095B" w:rsidRPr="00B00B60" w:rsidRDefault="00D1095B" w:rsidP="00F20D61">
      <w:pPr>
        <w:spacing w:after="100" w:afterAutospacing="1"/>
        <w:ind w:firstLine="720"/>
        <w:rPr>
          <w:rFonts w:asciiTheme="majorBidi" w:hAnsiTheme="majorBidi" w:cstheme="majorBidi"/>
        </w:rPr>
      </w:pPr>
      <w:r w:rsidRPr="00B00B60">
        <w:rPr>
          <w:rFonts w:asciiTheme="majorBidi" w:hAnsiTheme="majorBidi" w:cstheme="majorBidi"/>
        </w:rPr>
        <w:t>Overall, the main difference between my original approach and the approach I would take now is that my past decisions were mostly based on limited information immediate negative consequences. In contrast, the module</w:t>
      </w:r>
      <w:r w:rsidRPr="00B00B60">
        <w:rPr>
          <w:rFonts w:asciiTheme="majorBidi" w:hAnsiTheme="majorBidi" w:cstheme="majorBidi"/>
        </w:rPr>
        <w:noBreakHyphen/>
        <w:t xml:space="preserve">informed approach encourages me to define the situation clearly, consider alternatives, examine my assumptions, and evaluate possible outcomes. I’ve already started applying some of these ideas by giving myself time before responding to requests and thinking about what I can realistically manage. Although I still find it difficult to say no to the people close to me and at </w:t>
      </w:r>
      <w:r w:rsidRPr="00B00B60">
        <w:rPr>
          <w:rFonts w:asciiTheme="majorBidi" w:hAnsiTheme="majorBidi" w:cstheme="majorBidi"/>
        </w:rPr>
        <w:t>work,</w:t>
      </w:r>
      <w:r w:rsidRPr="00B00B60">
        <w:rPr>
          <w:rFonts w:asciiTheme="majorBidi" w:hAnsiTheme="majorBidi" w:cstheme="majorBidi"/>
        </w:rPr>
        <w:t xml:space="preserve"> I’m becoming more comfortable recognising that setting a respectful boundary can lead to a healthier outcome than agreeing to something I cannot realistically handle.</w:t>
      </w:r>
    </w:p>
    <w:p w14:paraId="08245F9F" w14:textId="77777777" w:rsidR="00F20D61" w:rsidRPr="00F20D61" w:rsidRDefault="00D1095B" w:rsidP="00F20D61">
      <w:pPr>
        <w:spacing w:after="100" w:afterAutospacing="1"/>
        <w:ind w:firstLine="720"/>
        <w:rPr>
          <w:rFonts w:asciiTheme="majorBidi" w:hAnsiTheme="majorBidi"/>
          <w:b/>
          <w:bCs/>
        </w:rPr>
      </w:pPr>
      <w:r w:rsidRPr="00B00B60">
        <w:rPr>
          <w:rFonts w:asciiTheme="majorBidi" w:hAnsiTheme="majorBidi" w:cstheme="majorBidi"/>
        </w:rPr>
        <w:t> </w:t>
      </w:r>
      <w:r w:rsidR="00F20D61" w:rsidRPr="00F20D61">
        <w:rPr>
          <w:rFonts w:asciiTheme="majorBidi" w:hAnsiTheme="majorBidi"/>
          <w:b/>
          <w:bCs/>
        </w:rPr>
        <w:t>References</w:t>
      </w:r>
    </w:p>
    <w:p w14:paraId="76751D31" w14:textId="77777777" w:rsidR="00F20D61" w:rsidRPr="00F20D61" w:rsidRDefault="00F20D61" w:rsidP="00F20D61">
      <w:pPr>
        <w:spacing w:after="100" w:afterAutospacing="1"/>
        <w:rPr>
          <w:rFonts w:asciiTheme="majorBidi" w:hAnsiTheme="majorBidi" w:cstheme="majorBidi"/>
        </w:rPr>
      </w:pPr>
      <w:r w:rsidRPr="00F20D61">
        <w:rPr>
          <w:rFonts w:asciiTheme="majorBidi" w:hAnsiTheme="majorBidi" w:cstheme="majorBidi"/>
        </w:rPr>
        <w:t xml:space="preserve">Halpern, D. F., &amp; Dunn, D. S. (2023). </w:t>
      </w:r>
      <w:r w:rsidRPr="00F20D61">
        <w:rPr>
          <w:rFonts w:asciiTheme="majorBidi" w:hAnsiTheme="majorBidi" w:cstheme="majorBidi"/>
          <w:i/>
          <w:iCs/>
        </w:rPr>
        <w:t>Thought and knowledge: An introduction to critical thinking</w:t>
      </w:r>
      <w:r w:rsidRPr="00F20D61">
        <w:rPr>
          <w:rFonts w:asciiTheme="majorBidi" w:hAnsiTheme="majorBidi" w:cstheme="majorBidi"/>
        </w:rPr>
        <w:t xml:space="preserve"> (6th ed.). Routledge. </w:t>
      </w:r>
    </w:p>
    <w:p w14:paraId="05EDD71E" w14:textId="77777777" w:rsidR="00F20D61" w:rsidRPr="00F20D61" w:rsidRDefault="00F20D61" w:rsidP="00F20D61">
      <w:pPr>
        <w:spacing w:after="100" w:afterAutospacing="1"/>
        <w:rPr>
          <w:rFonts w:asciiTheme="majorBidi" w:hAnsiTheme="majorBidi" w:cstheme="majorBidi"/>
        </w:rPr>
      </w:pPr>
      <w:r w:rsidRPr="00F20D61">
        <w:rPr>
          <w:rFonts w:asciiTheme="majorBidi" w:hAnsiTheme="majorBidi" w:cstheme="majorBidi"/>
        </w:rPr>
        <w:t xml:space="preserve">Kahneman, D. (2011). </w:t>
      </w:r>
      <w:r w:rsidRPr="00F20D61">
        <w:rPr>
          <w:rFonts w:asciiTheme="majorBidi" w:hAnsiTheme="majorBidi" w:cstheme="majorBidi"/>
          <w:i/>
          <w:iCs/>
        </w:rPr>
        <w:t>Thinking, fast and slow</w:t>
      </w:r>
      <w:r w:rsidRPr="00F20D61">
        <w:rPr>
          <w:rFonts w:asciiTheme="majorBidi" w:hAnsiTheme="majorBidi" w:cstheme="majorBidi"/>
        </w:rPr>
        <w:t xml:space="preserve">. Farrar, Straus and Giroux. </w:t>
      </w:r>
    </w:p>
    <w:p w14:paraId="1062462F" w14:textId="77777777" w:rsidR="00F20D61" w:rsidRPr="00F20D61" w:rsidRDefault="00F20D61" w:rsidP="00F20D61">
      <w:pPr>
        <w:spacing w:after="100" w:afterAutospacing="1"/>
        <w:rPr>
          <w:rFonts w:asciiTheme="majorBidi" w:hAnsiTheme="majorBidi" w:cstheme="majorBidi"/>
        </w:rPr>
      </w:pPr>
      <w:r w:rsidRPr="00F20D61">
        <w:rPr>
          <w:rFonts w:asciiTheme="majorBidi" w:hAnsiTheme="majorBidi" w:cstheme="majorBidi"/>
        </w:rPr>
        <w:t xml:space="preserve">Sharot, T. (2011). The optimism bias. </w:t>
      </w:r>
      <w:r w:rsidRPr="00F20D61">
        <w:rPr>
          <w:rFonts w:asciiTheme="majorBidi" w:hAnsiTheme="majorBidi" w:cstheme="majorBidi"/>
          <w:i/>
          <w:iCs/>
        </w:rPr>
        <w:t>Current Biology, 21</w:t>
      </w:r>
      <w:r w:rsidRPr="00F20D61">
        <w:rPr>
          <w:rFonts w:asciiTheme="majorBidi" w:hAnsiTheme="majorBidi" w:cstheme="majorBidi"/>
        </w:rPr>
        <w:t xml:space="preserve">(23), R941–R945. </w:t>
      </w:r>
      <w:hyperlink r:id="rId6" w:tgtFrame="_new" w:history="1">
        <w:r w:rsidRPr="00F20D61">
          <w:rPr>
            <w:rStyle w:val="Hyperlink"/>
            <w:rFonts w:asciiTheme="majorBidi" w:hAnsiTheme="majorBidi" w:cstheme="majorBidi"/>
          </w:rPr>
          <w:t>https://doi.org/10.1016/j.cub.2011.10.030</w:t>
        </w:r>
      </w:hyperlink>
    </w:p>
    <w:p w14:paraId="2606635D" w14:textId="252B39F7" w:rsidR="00D1095B" w:rsidRPr="00B00B60" w:rsidRDefault="00D1095B" w:rsidP="00F20D61">
      <w:pPr>
        <w:spacing w:after="100" w:afterAutospacing="1"/>
        <w:ind w:firstLine="720"/>
        <w:rPr>
          <w:rFonts w:asciiTheme="majorBidi" w:hAnsiTheme="majorBidi" w:cstheme="majorBidi"/>
        </w:rPr>
      </w:pPr>
    </w:p>
    <w:p w14:paraId="5B67B011" w14:textId="77777777" w:rsidR="009A75F2" w:rsidRPr="00B00B60" w:rsidRDefault="009A75F2" w:rsidP="00F20D61">
      <w:pPr>
        <w:spacing w:after="100" w:afterAutospacing="1"/>
        <w:ind w:firstLine="720"/>
        <w:rPr>
          <w:rFonts w:asciiTheme="majorBidi" w:hAnsiTheme="majorBidi" w:cstheme="majorBidi"/>
        </w:rPr>
      </w:pPr>
    </w:p>
    <w:sectPr w:rsidR="009A75F2" w:rsidRPr="00B00B6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9EFA3" w14:textId="77777777" w:rsidR="00B77C35" w:rsidRDefault="00B77C35" w:rsidP="00B00B60">
      <w:pPr>
        <w:spacing w:after="0" w:line="240" w:lineRule="auto"/>
      </w:pPr>
      <w:r>
        <w:separator/>
      </w:r>
    </w:p>
  </w:endnote>
  <w:endnote w:type="continuationSeparator" w:id="0">
    <w:p w14:paraId="2459C8A4" w14:textId="77777777" w:rsidR="00B77C35" w:rsidRDefault="00B77C35" w:rsidP="00B00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B6C4C" w14:textId="77777777" w:rsidR="00B77C35" w:rsidRDefault="00B77C35" w:rsidP="00B00B60">
      <w:pPr>
        <w:spacing w:after="0" w:line="240" w:lineRule="auto"/>
      </w:pPr>
      <w:r>
        <w:separator/>
      </w:r>
    </w:p>
  </w:footnote>
  <w:footnote w:type="continuationSeparator" w:id="0">
    <w:p w14:paraId="7359D8F3" w14:textId="77777777" w:rsidR="00B77C35" w:rsidRDefault="00B77C35" w:rsidP="00B00B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486901"/>
      <w:docPartObj>
        <w:docPartGallery w:val="Page Numbers (Top of Page)"/>
        <w:docPartUnique/>
      </w:docPartObj>
    </w:sdtPr>
    <w:sdtContent>
      <w:p w14:paraId="36F281FB" w14:textId="6352E2A6" w:rsidR="00B00B60" w:rsidRDefault="00B00B60">
        <w:pPr>
          <w:pStyle w:val="Header"/>
          <w:jc w:val="right"/>
        </w:pPr>
        <w:r>
          <w:fldChar w:fldCharType="begin"/>
        </w:r>
        <w:r>
          <w:instrText>PAGE   \* MERGEFORMAT</w:instrText>
        </w:r>
        <w:r>
          <w:fldChar w:fldCharType="separate"/>
        </w:r>
        <w:r>
          <w:t>2</w:t>
        </w:r>
        <w:r>
          <w:fldChar w:fldCharType="end"/>
        </w:r>
      </w:p>
    </w:sdtContent>
  </w:sdt>
  <w:p w14:paraId="57835A07" w14:textId="77777777" w:rsidR="00B00B60" w:rsidRDefault="00B00B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95B"/>
    <w:rsid w:val="00024E79"/>
    <w:rsid w:val="000A1B51"/>
    <w:rsid w:val="00154DF4"/>
    <w:rsid w:val="001856BB"/>
    <w:rsid w:val="001C0587"/>
    <w:rsid w:val="0029568B"/>
    <w:rsid w:val="00300265"/>
    <w:rsid w:val="003255A2"/>
    <w:rsid w:val="003E055D"/>
    <w:rsid w:val="004A1F7D"/>
    <w:rsid w:val="005726CB"/>
    <w:rsid w:val="00632D94"/>
    <w:rsid w:val="006C5DAA"/>
    <w:rsid w:val="007154BA"/>
    <w:rsid w:val="00723522"/>
    <w:rsid w:val="007C793A"/>
    <w:rsid w:val="00832BDF"/>
    <w:rsid w:val="00852F80"/>
    <w:rsid w:val="009A75F2"/>
    <w:rsid w:val="00A32B79"/>
    <w:rsid w:val="00B00B60"/>
    <w:rsid w:val="00B06BF6"/>
    <w:rsid w:val="00B74F74"/>
    <w:rsid w:val="00B77C35"/>
    <w:rsid w:val="00C8241F"/>
    <w:rsid w:val="00CC22C6"/>
    <w:rsid w:val="00D1095B"/>
    <w:rsid w:val="00D84E19"/>
    <w:rsid w:val="00E77B69"/>
    <w:rsid w:val="00E96B10"/>
    <w:rsid w:val="00EF6FE5"/>
    <w:rsid w:val="00F20D61"/>
    <w:rsid w:val="00F7743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9754"/>
  <w15:chartTrackingRefBased/>
  <w15:docId w15:val="{2A1EF0AF-9A66-4C51-A30C-BB6B7108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ind w:firstLine="0"/>
    </w:pPr>
  </w:style>
  <w:style w:type="paragraph" w:styleId="Heading1">
    <w:name w:val="heading 1"/>
    <w:basedOn w:val="Normal"/>
    <w:next w:val="Normal"/>
    <w:link w:val="Heading1Char"/>
    <w:uiPriority w:val="9"/>
    <w:qFormat/>
    <w:rsid w:val="00D10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95B"/>
    <w:rPr>
      <w:rFonts w:eastAsiaTheme="majorEastAsia" w:cstheme="majorBidi"/>
      <w:color w:val="272727" w:themeColor="text1" w:themeTint="D8"/>
    </w:rPr>
  </w:style>
  <w:style w:type="paragraph" w:styleId="Title">
    <w:name w:val="Title"/>
    <w:basedOn w:val="Normal"/>
    <w:next w:val="Normal"/>
    <w:link w:val="TitleChar"/>
    <w:uiPriority w:val="10"/>
    <w:qFormat/>
    <w:rsid w:val="00D10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9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9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095B"/>
    <w:rPr>
      <w:i/>
      <w:iCs/>
      <w:color w:val="404040" w:themeColor="text1" w:themeTint="BF"/>
    </w:rPr>
  </w:style>
  <w:style w:type="paragraph" w:styleId="ListParagraph">
    <w:name w:val="List Paragraph"/>
    <w:basedOn w:val="Normal"/>
    <w:uiPriority w:val="34"/>
    <w:qFormat/>
    <w:rsid w:val="00D1095B"/>
    <w:pPr>
      <w:ind w:left="720"/>
      <w:contextualSpacing/>
    </w:pPr>
  </w:style>
  <w:style w:type="character" w:styleId="IntenseEmphasis">
    <w:name w:val="Intense Emphasis"/>
    <w:basedOn w:val="DefaultParagraphFont"/>
    <w:uiPriority w:val="21"/>
    <w:qFormat/>
    <w:rsid w:val="00D1095B"/>
    <w:rPr>
      <w:i/>
      <w:iCs/>
      <w:color w:val="2F5496" w:themeColor="accent1" w:themeShade="BF"/>
    </w:rPr>
  </w:style>
  <w:style w:type="paragraph" w:styleId="IntenseQuote">
    <w:name w:val="Intense Quote"/>
    <w:basedOn w:val="Normal"/>
    <w:next w:val="Normal"/>
    <w:link w:val="IntenseQuoteChar"/>
    <w:uiPriority w:val="30"/>
    <w:qFormat/>
    <w:rsid w:val="00D10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95B"/>
    <w:rPr>
      <w:i/>
      <w:iCs/>
      <w:color w:val="2F5496" w:themeColor="accent1" w:themeShade="BF"/>
    </w:rPr>
  </w:style>
  <w:style w:type="character" w:styleId="IntenseReference">
    <w:name w:val="Intense Reference"/>
    <w:basedOn w:val="DefaultParagraphFont"/>
    <w:uiPriority w:val="32"/>
    <w:qFormat/>
    <w:rsid w:val="00D1095B"/>
    <w:rPr>
      <w:b/>
      <w:bCs/>
      <w:smallCaps/>
      <w:color w:val="2F5496" w:themeColor="accent1" w:themeShade="BF"/>
      <w:spacing w:val="5"/>
    </w:rPr>
  </w:style>
  <w:style w:type="paragraph" w:styleId="Header">
    <w:name w:val="header"/>
    <w:basedOn w:val="Normal"/>
    <w:link w:val="HeaderChar"/>
    <w:uiPriority w:val="99"/>
    <w:unhideWhenUsed/>
    <w:rsid w:val="00B00B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B60"/>
  </w:style>
  <w:style w:type="paragraph" w:styleId="Footer">
    <w:name w:val="footer"/>
    <w:basedOn w:val="Normal"/>
    <w:link w:val="FooterChar"/>
    <w:uiPriority w:val="99"/>
    <w:unhideWhenUsed/>
    <w:rsid w:val="00B00B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B60"/>
  </w:style>
  <w:style w:type="character" w:styleId="Hyperlink">
    <w:name w:val="Hyperlink"/>
    <w:basedOn w:val="DefaultParagraphFont"/>
    <w:uiPriority w:val="99"/>
    <w:unhideWhenUsed/>
    <w:rsid w:val="00F20D61"/>
    <w:rPr>
      <w:color w:val="0563C1" w:themeColor="hyperlink"/>
      <w:u w:val="single"/>
    </w:rPr>
  </w:style>
  <w:style w:type="character" w:styleId="UnresolvedMention">
    <w:name w:val="Unresolved Mention"/>
    <w:basedOn w:val="DefaultParagraphFont"/>
    <w:uiPriority w:val="99"/>
    <w:semiHidden/>
    <w:unhideWhenUsed/>
    <w:rsid w:val="00F20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cub.2011.10.03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1460</Words>
  <Characters>8323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Meseret Mechal</dc:creator>
  <cp:keywords/>
  <dc:description/>
  <cp:lastModifiedBy>Meseret Mechal</cp:lastModifiedBy>
  <cp:revision>1</cp:revision>
  <dcterms:created xsi:type="dcterms:W3CDTF">2026-10-03T14:39:00Z</dcterms:created>
  <dcterms:modified xsi:type="dcterms:W3CDTF">2026-10-03T15:42:00Z</dcterms:modified>
</cp:coreProperties>
</file>