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E1593" w14:textId="561465B9" w:rsidR="00DA4AD7" w:rsidRDefault="00DA4AD7" w:rsidP="00EB590F">
      <w:pPr>
        <w:pStyle w:val="Heading2"/>
        <w:jc w:val="center"/>
      </w:pPr>
      <w:r>
        <w:t>Reflective Decision Making and Problem Solving</w:t>
      </w:r>
    </w:p>
    <w:p w14:paraId="012EEFA2" w14:textId="77777777" w:rsidR="00DA4AD7" w:rsidRDefault="00DA4AD7" w:rsidP="00DA4AD7"/>
    <w:p w14:paraId="316539DA" w14:textId="34078CB7" w:rsidR="00DA4AD7" w:rsidRDefault="00DA4AD7" w:rsidP="00EB590F">
      <w:pPr>
        <w:pStyle w:val="Heading3"/>
      </w:pPr>
      <w:r>
        <w:t>Decision to study at university</w:t>
      </w:r>
    </w:p>
    <w:p w14:paraId="785AB300" w14:textId="060A5FD7" w:rsidR="00DA4AD7" w:rsidRDefault="00DA4AD7" w:rsidP="00DA4AD7">
      <w:r>
        <w:t xml:space="preserve">One of the important decisions in my life was choosing to study at university. I had already gained a degree as a mature student but felt I wanted to do a further degree and study online. It was something that I wished to do for myself rather than basing the decision on career and financial benefits. </w:t>
      </w:r>
      <w:r w:rsidR="00185498">
        <w:t>I ha</w:t>
      </w:r>
      <w:r w:rsidR="00FA4BCF">
        <w:t>ve</w:t>
      </w:r>
      <w:r w:rsidR="00185498">
        <w:t xml:space="preserve"> work and family commitments, so this was not an easy choice to make. I was aware that studying at university would require a </w:t>
      </w:r>
      <w:r w:rsidR="00D76FB6">
        <w:t>huge commitment alongside my existing responsibilities. However, completing a further degree was a personal goal for me and a</w:t>
      </w:r>
      <w:r w:rsidR="00364F77">
        <w:t>n ongoing</w:t>
      </w:r>
      <w:r w:rsidR="00D76FB6">
        <w:t xml:space="preserve"> desire to continue studyin</w:t>
      </w:r>
      <w:r w:rsidR="004B390C">
        <w:t>g.</w:t>
      </w:r>
      <w:r w:rsidR="00364F77">
        <w:t xml:space="preserve"> </w:t>
      </w:r>
    </w:p>
    <w:p w14:paraId="4A8AC626" w14:textId="77C709BE" w:rsidR="00364F77" w:rsidRDefault="00364F77" w:rsidP="00DA4AD7">
      <w:r>
        <w:t xml:space="preserve">At the time the decision was based solely on how much I wanted to achieve </w:t>
      </w:r>
      <w:r w:rsidR="00B30253">
        <w:t>this,</w:t>
      </w:r>
      <w:r>
        <w:t xml:space="preserve"> so I considered whether university study was able to fit into my life and recognised that online study was the best </w:t>
      </w:r>
      <w:r w:rsidR="00CF4651">
        <w:t>and most realistic option</w:t>
      </w:r>
      <w:r>
        <w:t>. Online study would therefore allow me to work from home and arrange learning around my employment and family. I did look at co</w:t>
      </w:r>
      <w:r w:rsidR="00EB590F">
        <w:t>u</w:t>
      </w:r>
      <w:r>
        <w:t>rse requirements and</w:t>
      </w:r>
      <w:r w:rsidR="00EB590F">
        <w:t xml:space="preserve"> the</w:t>
      </w:r>
      <w:r>
        <w:t xml:space="preserve"> flexibility it offered, but I did not use any formal process to compare alternatives. For example, I did not compare university courses with shorter professional qualifications or to take a different subject. Nor did I calculate the weekly study hours against my commitments of working full time and a family. </w:t>
      </w:r>
    </w:p>
    <w:p w14:paraId="6E4476BF" w14:textId="53A5F8A6" w:rsidR="005D78E7" w:rsidRPr="00EB590F" w:rsidRDefault="00364F77" w:rsidP="00CF4651">
      <w:r>
        <w:t>My reasoning was personal and intuitive</w:t>
      </w:r>
      <w:r w:rsidR="00CF4651">
        <w:t xml:space="preserve"> by </w:t>
      </w:r>
      <w:r>
        <w:t xml:space="preserve">focusing on </w:t>
      </w:r>
      <w:r w:rsidR="00FA4BCF">
        <w:t>the anticipated benefits</w:t>
      </w:r>
      <w:r>
        <w:t xml:space="preserve"> of gaining a degree and the satisfaction of completing something that is important to me. I discussed </w:t>
      </w:r>
      <w:r w:rsidR="00CF4651">
        <w:t xml:space="preserve">returning to studying </w:t>
      </w:r>
      <w:r>
        <w:t xml:space="preserve">with those closest to me </w:t>
      </w:r>
      <w:r w:rsidR="00CF4651">
        <w:t xml:space="preserve">but did not really </w:t>
      </w:r>
      <w:r w:rsidR="00B30253">
        <w:t>consider</w:t>
      </w:r>
      <w:r w:rsidR="00CF4651">
        <w:t xml:space="preserve"> any other opinions, other than my own</w:t>
      </w:r>
      <w:r>
        <w:t xml:space="preserve">. I eventually applied because my desire to continue studying was much stronger that any worries I had. Although at times there </w:t>
      </w:r>
      <w:r w:rsidR="00CF4651">
        <w:t>may be</w:t>
      </w:r>
      <w:r>
        <w:t xml:space="preserve"> an imbalance, I still consider this to be the right decision for me. </w:t>
      </w:r>
    </w:p>
    <w:p w14:paraId="39ED07C3" w14:textId="64D18335" w:rsidR="001841A5" w:rsidRDefault="001841A5" w:rsidP="00DA4AD7">
      <w:r>
        <w:t xml:space="preserve">If I </w:t>
      </w:r>
      <w:r w:rsidR="00CF4651">
        <w:t>had to make this decision again</w:t>
      </w:r>
      <w:r>
        <w:t>, I would retain my personal motivation but use Halpern’s (20</w:t>
      </w:r>
      <w:r w:rsidR="00B30253">
        <w:t>23</w:t>
      </w:r>
      <w:r>
        <w:t xml:space="preserve">) critical thinking model to make the process more deliberate. The first stage would be to adopt a willingness to think carefully instead of treating </w:t>
      </w:r>
      <w:r w:rsidR="00CF4651">
        <w:t xml:space="preserve">my </w:t>
      </w:r>
      <w:r>
        <w:t>enthusiasm as evidence</w:t>
      </w:r>
      <w:r w:rsidR="00CF4651">
        <w:t xml:space="preserve"> to return to study</w:t>
      </w:r>
      <w:r>
        <w:t xml:space="preserve">. </w:t>
      </w:r>
      <w:r w:rsidR="0037342A">
        <w:t>I would look at what educational option</w:t>
      </w:r>
      <w:r w:rsidR="00CF4651">
        <w:t>s</w:t>
      </w:r>
      <w:r w:rsidR="0037342A">
        <w:t xml:space="preserve"> would best support my personal development and stay manageable alongside my employment and family commitments over the full duration of the course, providing more option’s rather than one decision to go or not go to university. </w:t>
      </w:r>
    </w:p>
    <w:p w14:paraId="5EF292D8" w14:textId="5E8D322F" w:rsidR="00971EEE" w:rsidRDefault="00971EEE" w:rsidP="00DA4AD7">
      <w:r>
        <w:t xml:space="preserve">I would generate realistic alternatives for example beginning the degree immediately, delaying the degree for a year, completing a shorter course first or do I need a degree to continue professional development. </w:t>
      </w:r>
      <w:r w:rsidR="00A941BD" w:rsidRPr="00A941BD">
        <w:t>I would create a weighted decision matrix using criteria that mattered to me. Personal fulfilment and long-term development might each receive a weight of 5</w:t>
      </w:r>
      <w:r w:rsidR="00FA4BCF">
        <w:t>,</w:t>
      </w:r>
      <w:r w:rsidR="00A941BD" w:rsidRPr="00A941BD">
        <w:t xml:space="preserve"> flexibility and effects on family time</w:t>
      </w:r>
      <w:r w:rsidR="00FA4BCF">
        <w:t xml:space="preserve"> a weight of 4, </w:t>
      </w:r>
      <w:r w:rsidR="00A941BD" w:rsidRPr="00A941BD">
        <w:t>cost</w:t>
      </w:r>
      <w:r w:rsidR="00FA4BCF">
        <w:t xml:space="preserve"> a weight of 3</w:t>
      </w:r>
      <w:r w:rsidR="00A941BD" w:rsidRPr="00A941BD">
        <w:t xml:space="preserve"> and speed of completion, 2. I would score every option from 1 to 5 and multiply each </w:t>
      </w:r>
      <w:r w:rsidR="00A941BD" w:rsidRPr="00A941BD">
        <w:lastRenderedPageBreak/>
        <w:t xml:space="preserve">score by its weight. </w:t>
      </w:r>
      <w:r w:rsidR="00CF4651">
        <w:t>Although this would not make the decision</w:t>
      </w:r>
      <w:r w:rsidR="00A941BD" w:rsidRPr="00A941BD">
        <w:t xml:space="preserve">, it would </w:t>
      </w:r>
      <w:r w:rsidR="00A941BD">
        <w:t>show</w:t>
      </w:r>
      <w:r w:rsidR="00A941BD" w:rsidRPr="00A941BD">
        <w:t xml:space="preserve"> where my preference depended on emotion rather than evidence.</w:t>
      </w:r>
    </w:p>
    <w:p w14:paraId="11ABA0ED" w14:textId="35673439" w:rsidR="00A941BD" w:rsidRDefault="00A941BD" w:rsidP="00DA4AD7">
      <w:r>
        <w:t xml:space="preserve">I would then test the assumptions by </w:t>
      </w:r>
      <w:r w:rsidR="00CF4651">
        <w:t xml:space="preserve">using the </w:t>
      </w:r>
      <w:r>
        <w:t>weekly study hour</w:t>
      </w:r>
      <w:r w:rsidR="00CF4651">
        <w:t xml:space="preserve">s to </w:t>
      </w:r>
      <w:r>
        <w:t>map them onto a four</w:t>
      </w:r>
      <w:r w:rsidR="00CF4651">
        <w:t>-</w:t>
      </w:r>
      <w:r>
        <w:t xml:space="preserve">week calendar and include work timetable, childcare, household responsibilities and protected time. </w:t>
      </w:r>
      <w:r w:rsidR="00D82505">
        <w:t>I would speak to other online students about their workload during assignment periods and check out support that university offers alongside studies. Additionally</w:t>
      </w:r>
      <w:r w:rsidR="00951CED">
        <w:t>,</w:t>
      </w:r>
      <w:r w:rsidR="00D82505">
        <w:t xml:space="preserve"> I would conduct a pre- mortem imagine that </w:t>
      </w:r>
      <w:r w:rsidR="00951CED">
        <w:t xml:space="preserve">of the likely causes should I have to withdraw from the course where underestimations in reading time, leaving assignments to late or not having a plan when unexpected family demands arise. I would prepare responses to have fixed study periods, starting assessments earlier and knowing that support is available. </w:t>
      </w:r>
    </w:p>
    <w:p w14:paraId="3F2CEE30" w14:textId="1CD4D648" w:rsidR="00AF7EBE" w:rsidRDefault="00AF7EBE" w:rsidP="00CF4651">
      <w:r w:rsidRPr="00AF7EBE">
        <w:t xml:space="preserve">This slower approach reflects Kahneman's (2011) distinction between fast, intuitive thinking and slower, effortful thinking. My original choice relied heavily </w:t>
      </w:r>
      <w:r>
        <w:t>on fast intuitive thinking</w:t>
      </w:r>
      <w:r w:rsidRPr="00AF7EBE">
        <w:t xml:space="preserve">. </w:t>
      </w:r>
      <w:r w:rsidR="00B30253">
        <w:t>I may have also shown confirmation bias by paying more attention to the information that supports university study rather than to the demands of study and university (</w:t>
      </w:r>
      <w:proofErr w:type="spellStart"/>
      <w:r w:rsidR="00B30253">
        <w:t>Kaanders</w:t>
      </w:r>
      <w:proofErr w:type="spellEnd"/>
      <w:r w:rsidR="00B30253">
        <w:t xml:space="preserve"> et al.,2022). </w:t>
      </w:r>
      <w:r w:rsidRPr="00AF7EBE">
        <w:t>Halpern's final emphasis on metacognitive monitoring would require me to ask</w:t>
      </w:r>
      <w:r>
        <w:t xml:space="preserve"> about evidence that could potentially change my mind and am I choosing this because it is workable or I want it to be workable. </w:t>
      </w:r>
    </w:p>
    <w:p w14:paraId="1A110D5D" w14:textId="07B18033" w:rsidR="00AF7EBE" w:rsidRDefault="00AF7EBE" w:rsidP="00DA4AD7">
      <w:r>
        <w:t xml:space="preserve">The informed approach would not change my final decision due to university being important to me and the desire to continue studying make me believe that I made the right decision. However, this would have an advantage of my decision being better tested and a realistic implementation plan. My decision did not take into consideration the risks should work and family life become more demanding. </w:t>
      </w:r>
    </w:p>
    <w:p w14:paraId="19671900" w14:textId="71B28C3A" w:rsidR="00DB370F" w:rsidRPr="00EB590F" w:rsidRDefault="00DB370F" w:rsidP="00EB590F">
      <w:pPr>
        <w:pStyle w:val="Heading3"/>
      </w:pPr>
      <w:r w:rsidRPr="00EB590F">
        <w:t>Problem responding after my car was stolen</w:t>
      </w:r>
    </w:p>
    <w:p w14:paraId="0A228ADB" w14:textId="71547FC2" w:rsidR="00DB370F" w:rsidRDefault="00DB370F" w:rsidP="00DA4AD7">
      <w:r>
        <w:t>A significant problem I faced was the theft of my vehicle in April this year. Waking up and discovering my car had been stolen created an immediate practical problem mixed with anxiety</w:t>
      </w:r>
      <w:r w:rsidR="00BE4DFA">
        <w:t xml:space="preserve"> and emotion</w:t>
      </w:r>
      <w:r>
        <w:t xml:space="preserve"> around how and why my car was stolen, whether it would be recovered and any damage and whether the thieves may return. Because the car was keyless </w:t>
      </w:r>
      <w:r w:rsidR="00FA4BCF">
        <w:t>entry,</w:t>
      </w:r>
      <w:r>
        <w:t xml:space="preserve"> I was uncertain at the time how it had been accessed and whether its security was permanently compromised. </w:t>
      </w:r>
    </w:p>
    <w:p w14:paraId="7347BEDE" w14:textId="431809F8" w:rsidR="00DB370F" w:rsidRDefault="00DB370F" w:rsidP="00DA4AD7">
      <w:r>
        <w:t>My first response was action focused by contacting the police and vehicle insurers and used the car</w:t>
      </w:r>
      <w:r w:rsidR="00BE4DFA">
        <w:t>’</w:t>
      </w:r>
      <w:r>
        <w:t xml:space="preserve">s tracker information to support recovery of the vehicle. The tracker shown the vehicle had been parked at one location and then moved to a nearby street. The Police recovered the vehicle and then it remained in a garage for a further month. During this </w:t>
      </w:r>
      <w:r w:rsidR="00FA4BCF">
        <w:t>time,</w:t>
      </w:r>
      <w:r>
        <w:t xml:space="preserve"> I tried to understand possible method of theft including relay theft and diagnostic port. I sought information as to whether the thieves may return and security measures that would reduce this risk. </w:t>
      </w:r>
    </w:p>
    <w:p w14:paraId="12BF761D" w14:textId="7DB5883D" w:rsidR="00C95BF8" w:rsidRPr="00EB590F" w:rsidRDefault="00C95BF8" w:rsidP="006042CF">
      <w:r>
        <w:lastRenderedPageBreak/>
        <w:t xml:space="preserve">Once the car was returned, I added a further tracker, used a steering lock and kept the key in a faraday pouch. I also considered protection for the diagnostic port and whether the keys should be reset. These steps addressed several possible </w:t>
      </w:r>
      <w:r w:rsidR="00FA4BCF">
        <w:t>risks</w:t>
      </w:r>
      <w:r>
        <w:t xml:space="preserve"> of this happening </w:t>
      </w:r>
      <w:r w:rsidR="00FA4BCF">
        <w:t>again,</w:t>
      </w:r>
      <w:r>
        <w:t xml:space="preserve"> but I repeatedly considered explanations for the theft and looked for reassurance in each one. The immediate actions were effective because the vehicle was recovered and additional security was installed. However, the uncertainty about the theft made it difficult to know whether I had dealt with the most important risks first. </w:t>
      </w:r>
    </w:p>
    <w:p w14:paraId="53D1BB30" w14:textId="05B938D5" w:rsidR="00C95BF8" w:rsidRDefault="001553BD" w:rsidP="00DA4AD7">
      <w:r>
        <w:t xml:space="preserve">If I was to approach the problem again, I would use Bransford and Steins (1993) IDEAL framework by identifying the problem, define and represent it, explore possible strategies, act on the strategy and look back and evaluate. In identifying the problem, I would separate the situation into three problems: Immediate recovery, administrative and mechanical recovery and prevention of further theft. By setting this out it reduces the risk of treating each fear as equally urgent. </w:t>
      </w:r>
    </w:p>
    <w:p w14:paraId="2025CF84" w14:textId="25F8E028" w:rsidR="001553BD" w:rsidRDefault="001553BD" w:rsidP="00DA4AD7">
      <w:r>
        <w:t xml:space="preserve">Under define I would record verified facts in one column and uncertainties in another. </w:t>
      </w:r>
      <w:r w:rsidR="00D84CEF">
        <w:t>Verified facts include the time when the car was stolen, tracker locations, Police crime numbers, insurer instructions, visible damage and garage findings. Uncertainties include whether relay equipment or diagnostic port was used and whether an unauthorised key remained paired with the vehicle. I would avoid using possible explanations as fact</w:t>
      </w:r>
      <w:r w:rsidR="00B30253">
        <w:t xml:space="preserve"> and consider alternative explanations and evidence that may challenge my existing views (Stanovich &amp; Toplak, 2023).</w:t>
      </w:r>
      <w:r w:rsidR="00D84CEF">
        <w:t xml:space="preserve"> I would define success as recovering the vehicle, completing police and insurer requests and confirming the vehicle is mechanically and electronically safe including reducing the risk of this happening again. </w:t>
      </w:r>
    </w:p>
    <w:p w14:paraId="724024F4" w14:textId="0AD217FF" w:rsidR="00D84CEF" w:rsidRDefault="00D84CEF" w:rsidP="00DA4AD7">
      <w:r>
        <w:t xml:space="preserve">For explore, I would list all possible actions by urgency, evidence, cost and control. Immediate actions were contacting the police, insurer and tracker provider and not approaching the vehicle myself. After recovery, I would request the written garage inspection covering damage, any keys recognised by the vehicle and diagnostic port interference. </w:t>
      </w:r>
      <w:r w:rsidR="00C21F36">
        <w:t xml:space="preserve">By using multiple preventative measures </w:t>
      </w:r>
      <w:r w:rsidR="008C487A">
        <w:t xml:space="preserve">can removes more risk factors than using a single device. </w:t>
      </w:r>
    </w:p>
    <w:p w14:paraId="4F7A4CDA" w14:textId="431A70FC" w:rsidR="008C487A" w:rsidRDefault="001C1583" w:rsidP="00DA4AD7">
      <w:r>
        <w:t>Under Act I would use a data checklist with named contacts, reference and crime numbers and outcomes</w:t>
      </w:r>
      <w:r w:rsidR="00815A90">
        <w:t xml:space="preserve">. I would </w:t>
      </w:r>
      <w:r w:rsidR="00FA4BCF">
        <w:t>make</w:t>
      </w:r>
      <w:r w:rsidR="00815A90">
        <w:t xml:space="preserve"> tasks so things that need doing today, things that can wait until tomorrow and when the car returns to prevent repeated searching. I would set boundaries for myself so that unsupported possibilities would be recorded but not continually visited. </w:t>
      </w:r>
    </w:p>
    <w:p w14:paraId="2A3FA5AE" w14:textId="36315D4D" w:rsidR="00DB370F" w:rsidRPr="00EB590F" w:rsidRDefault="00815A90" w:rsidP="006042CF">
      <w:r>
        <w:t xml:space="preserve">Finally, </w:t>
      </w:r>
      <w:r w:rsidR="00FA4BCF">
        <w:t>look</w:t>
      </w:r>
      <w:r>
        <w:t xml:space="preserve"> back by reviewing each action that has been achieved. I would ensure that tracker served its purpose, check that the signal from the key to the car is blocked by the faraday pouch and review the home camera coverage. Halpern’s metacognitive monitoring would help me notice when anxiety or the availability heuristic affects my </w:t>
      </w:r>
      <w:r>
        <w:lastRenderedPageBreak/>
        <w:t xml:space="preserve">judgement. The theft of a vehicle is vivid and emotionally powerful, it can make a further theft seem more likely than what evidence suggests (Tversky &amp; Kahneman, 1974) Monitoring would mean dismissing danger and matching precautions to evidence. </w:t>
      </w:r>
      <w:r w:rsidRPr="00EB590F">
        <w:t xml:space="preserve"> </w:t>
      </w:r>
    </w:p>
    <w:p w14:paraId="0F39EF00" w14:textId="425B0CAC" w:rsidR="00815A90" w:rsidRDefault="00815A90" w:rsidP="00DA4AD7">
      <w:r>
        <w:t>My original response provided effective actions especially when reporting the theft, using the tracker information and adding multiple security measures. The difference is that the module informed approach would organise these actions around clearly defined sub problems</w:t>
      </w:r>
      <w:r w:rsidR="00D908F1">
        <w:t xml:space="preserve"> and distinguishing facts from assumptions. It would also include evaluation rather than ending when equipment to reduce risk was purchased. Overall, this shows that effective reasoning does not replace intuition, emotion or personal values but does provide a structure for checking them, finding missing evidence and turning concern into action. </w:t>
      </w:r>
    </w:p>
    <w:p w14:paraId="190DE0DD" w14:textId="12751E3D" w:rsidR="000A5B44" w:rsidRDefault="000A5B44" w:rsidP="00EB590F">
      <w:pPr>
        <w:pStyle w:val="Heading3"/>
      </w:pPr>
      <w:r>
        <w:t>References</w:t>
      </w:r>
    </w:p>
    <w:p w14:paraId="0B88938D" w14:textId="3BC0A61F" w:rsidR="00BE4DFA" w:rsidRPr="00BE4DFA" w:rsidRDefault="00BE4DFA" w:rsidP="00BE4DFA">
      <w:r w:rsidRPr="00BE4DFA">
        <w:t xml:space="preserve">Bransford, J. D., Jr., &amp; Stein, B. S. (1993). </w:t>
      </w:r>
      <w:r w:rsidRPr="00BE4DFA">
        <w:rPr>
          <w:i/>
          <w:iCs/>
        </w:rPr>
        <w:t>THE IDEAL PROBLEM SOLVER</w:t>
      </w:r>
      <w:r w:rsidRPr="00BE4DFA">
        <w:t xml:space="preserve"> (Second Edition). W. H. Freeman and Company.</w:t>
      </w:r>
      <w:r>
        <w:t xml:space="preserve"> </w:t>
      </w:r>
    </w:p>
    <w:p w14:paraId="1D2756B8" w14:textId="7784C684" w:rsidR="00043AEB" w:rsidRDefault="0058483C" w:rsidP="00043AEB">
      <w:r w:rsidRPr="0058483C">
        <w:t xml:space="preserve">Halpern, D. F., &amp; Dunn, D. S. (2023). </w:t>
      </w:r>
      <w:r w:rsidRPr="0058483C">
        <w:rPr>
          <w:i/>
          <w:iCs/>
        </w:rPr>
        <w:t>Thought and knowledge: An introduction to critical thinking</w:t>
      </w:r>
      <w:r w:rsidRPr="0058483C">
        <w:t xml:space="preserve"> (6th ed.). Routledge</w:t>
      </w:r>
      <w:r>
        <w:t>.</w:t>
      </w:r>
    </w:p>
    <w:p w14:paraId="7DB69057" w14:textId="7D478CEE" w:rsidR="005A3B43" w:rsidRDefault="005A3B43" w:rsidP="005A3B43">
      <w:proofErr w:type="spellStart"/>
      <w:r w:rsidRPr="005A3B43">
        <w:t>Kaanders</w:t>
      </w:r>
      <w:proofErr w:type="spellEnd"/>
      <w:r w:rsidRPr="005A3B43">
        <w:t xml:space="preserve">, P., Sepulveda, P., Folke, T., </w:t>
      </w:r>
      <w:proofErr w:type="spellStart"/>
      <w:r w:rsidRPr="005A3B43">
        <w:t>Ortoleva</w:t>
      </w:r>
      <w:proofErr w:type="spellEnd"/>
      <w:r w:rsidRPr="005A3B43">
        <w:t xml:space="preserve">, P., &amp; De Martino, B. (2022). Humans actively sample evidence to support prior beliefs. </w:t>
      </w:r>
      <w:proofErr w:type="spellStart"/>
      <w:r w:rsidRPr="005A3B43">
        <w:rPr>
          <w:i/>
          <w:iCs/>
        </w:rPr>
        <w:t>eLife</w:t>
      </w:r>
      <w:proofErr w:type="spellEnd"/>
      <w:r w:rsidRPr="005A3B43">
        <w:t xml:space="preserve">, </w:t>
      </w:r>
      <w:r w:rsidRPr="005A3B43">
        <w:rPr>
          <w:i/>
          <w:iCs/>
        </w:rPr>
        <w:t>11</w:t>
      </w:r>
      <w:r w:rsidRPr="005A3B43">
        <w:t xml:space="preserve">. </w:t>
      </w:r>
      <w:hyperlink r:id="rId4" w:history="1">
        <w:r w:rsidRPr="00A40BAE">
          <w:rPr>
            <w:rStyle w:val="Hyperlink"/>
          </w:rPr>
          <w:t>https://doi.org/10.7554/elife.71768</w:t>
        </w:r>
      </w:hyperlink>
    </w:p>
    <w:p w14:paraId="5BE9D433" w14:textId="3727CA7E" w:rsidR="0058483C" w:rsidRDefault="0058483C" w:rsidP="00043AEB">
      <w:r w:rsidRPr="0058483C">
        <w:t xml:space="preserve">Kahneman, D. (2011). </w:t>
      </w:r>
      <w:r w:rsidRPr="0058483C">
        <w:rPr>
          <w:i/>
          <w:iCs/>
        </w:rPr>
        <w:t>Thinking, fast and slow.</w:t>
      </w:r>
      <w:r w:rsidRPr="0058483C">
        <w:t xml:space="preserve"> Farrar, Straus and Giroux.</w:t>
      </w:r>
    </w:p>
    <w:p w14:paraId="3810BF7D" w14:textId="74E41AFA" w:rsidR="005A3B43" w:rsidRDefault="005A3B43" w:rsidP="00043AEB">
      <w:r w:rsidRPr="005A3B43">
        <w:t xml:space="preserve">Stanovich, K. E., &amp; Toplak, M. E. (2023). Actively Open-Minded Thinking and its Measurement. </w:t>
      </w:r>
      <w:r w:rsidRPr="005A3B43">
        <w:rPr>
          <w:i/>
          <w:iCs/>
        </w:rPr>
        <w:t>Journal of Intelligence</w:t>
      </w:r>
      <w:r w:rsidRPr="005A3B43">
        <w:t xml:space="preserve">, </w:t>
      </w:r>
      <w:r w:rsidRPr="005A3B43">
        <w:rPr>
          <w:i/>
          <w:iCs/>
        </w:rPr>
        <w:t>11</w:t>
      </w:r>
      <w:r w:rsidRPr="005A3B43">
        <w:t xml:space="preserve">(2), 27. </w:t>
      </w:r>
      <w:hyperlink r:id="rId5" w:history="1">
        <w:r w:rsidRPr="00A40BAE">
          <w:rPr>
            <w:rStyle w:val="Hyperlink"/>
          </w:rPr>
          <w:t>https://doi.org/10.3390/jintelligence11020027</w:t>
        </w:r>
      </w:hyperlink>
    </w:p>
    <w:p w14:paraId="4C204581" w14:textId="1826F5C1" w:rsidR="000A5B44" w:rsidRDefault="000A5B44" w:rsidP="000A5B44">
      <w:r w:rsidRPr="000A5B44">
        <w:t xml:space="preserve">Tversky, A., &amp; Kahneman, D. (1974). Judgment under Uncertainty: Heuristics and Biases. </w:t>
      </w:r>
      <w:r w:rsidRPr="000A5B44">
        <w:rPr>
          <w:i/>
          <w:iCs/>
        </w:rPr>
        <w:t>Science</w:t>
      </w:r>
      <w:r w:rsidRPr="000A5B44">
        <w:t xml:space="preserve">, </w:t>
      </w:r>
      <w:r w:rsidRPr="000A5B44">
        <w:rPr>
          <w:i/>
          <w:iCs/>
        </w:rPr>
        <w:t>185</w:t>
      </w:r>
      <w:r w:rsidRPr="000A5B44">
        <w:t xml:space="preserve">(4157), 1124–1131. </w:t>
      </w:r>
      <w:hyperlink r:id="rId6" w:history="1">
        <w:r w:rsidR="005A3B43" w:rsidRPr="00A40BAE">
          <w:rPr>
            <w:rStyle w:val="Hyperlink"/>
          </w:rPr>
          <w:t>https://doi.org/10.1126/science.185.4157.1124</w:t>
        </w:r>
      </w:hyperlink>
    </w:p>
    <w:p w14:paraId="57C72305" w14:textId="77777777" w:rsidR="005A3B43" w:rsidRPr="000A5B44" w:rsidRDefault="005A3B43" w:rsidP="000A5B44"/>
    <w:p w14:paraId="0815DC82" w14:textId="77777777" w:rsidR="000A5B44" w:rsidRPr="00815A90" w:rsidRDefault="000A5B44" w:rsidP="00DA4AD7"/>
    <w:p w14:paraId="024013B4" w14:textId="77777777" w:rsidR="00AF7EBE" w:rsidRDefault="00AF7EBE" w:rsidP="00DA4AD7"/>
    <w:sectPr w:rsidR="00AF7E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AD7"/>
    <w:rsid w:val="00043AEB"/>
    <w:rsid w:val="000A5B44"/>
    <w:rsid w:val="000E3959"/>
    <w:rsid w:val="001414A7"/>
    <w:rsid w:val="001553BD"/>
    <w:rsid w:val="001841A5"/>
    <w:rsid w:val="00185498"/>
    <w:rsid w:val="001C1583"/>
    <w:rsid w:val="00364F77"/>
    <w:rsid w:val="0037342A"/>
    <w:rsid w:val="00470559"/>
    <w:rsid w:val="004B390C"/>
    <w:rsid w:val="0058483C"/>
    <w:rsid w:val="005A3B43"/>
    <w:rsid w:val="005D78E7"/>
    <w:rsid w:val="006042CF"/>
    <w:rsid w:val="00815A90"/>
    <w:rsid w:val="008C487A"/>
    <w:rsid w:val="00951CED"/>
    <w:rsid w:val="00971EEE"/>
    <w:rsid w:val="00A941BD"/>
    <w:rsid w:val="00AF7EBE"/>
    <w:rsid w:val="00B30253"/>
    <w:rsid w:val="00BE4DFA"/>
    <w:rsid w:val="00C21F36"/>
    <w:rsid w:val="00C95BF8"/>
    <w:rsid w:val="00CA4E4F"/>
    <w:rsid w:val="00CF4651"/>
    <w:rsid w:val="00D55FB6"/>
    <w:rsid w:val="00D74FB2"/>
    <w:rsid w:val="00D76FB6"/>
    <w:rsid w:val="00D82505"/>
    <w:rsid w:val="00D84CEF"/>
    <w:rsid w:val="00D908F1"/>
    <w:rsid w:val="00DA4AD7"/>
    <w:rsid w:val="00DB370F"/>
    <w:rsid w:val="00EB590F"/>
    <w:rsid w:val="00F640A0"/>
    <w:rsid w:val="00FA4B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20D17"/>
  <w15:chartTrackingRefBased/>
  <w15:docId w15:val="{2854A569-6F2F-4677-9DE5-2AE3D0554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4A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A4A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A4A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4A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4A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4A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4A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4A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4A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A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A4A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A4A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4A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4A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4A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4A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4A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4AD7"/>
    <w:rPr>
      <w:rFonts w:eastAsiaTheme="majorEastAsia" w:cstheme="majorBidi"/>
      <w:color w:val="272727" w:themeColor="text1" w:themeTint="D8"/>
    </w:rPr>
  </w:style>
  <w:style w:type="paragraph" w:styleId="Title">
    <w:name w:val="Title"/>
    <w:basedOn w:val="Normal"/>
    <w:next w:val="Normal"/>
    <w:link w:val="TitleChar"/>
    <w:uiPriority w:val="10"/>
    <w:qFormat/>
    <w:rsid w:val="00DA4A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4A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4A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A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4AD7"/>
    <w:pPr>
      <w:spacing w:before="160"/>
      <w:jc w:val="center"/>
    </w:pPr>
    <w:rPr>
      <w:i/>
      <w:iCs/>
      <w:color w:val="404040" w:themeColor="text1" w:themeTint="BF"/>
    </w:rPr>
  </w:style>
  <w:style w:type="character" w:customStyle="1" w:styleId="QuoteChar">
    <w:name w:val="Quote Char"/>
    <w:basedOn w:val="DefaultParagraphFont"/>
    <w:link w:val="Quote"/>
    <w:uiPriority w:val="29"/>
    <w:rsid w:val="00DA4AD7"/>
    <w:rPr>
      <w:i/>
      <w:iCs/>
      <w:color w:val="404040" w:themeColor="text1" w:themeTint="BF"/>
    </w:rPr>
  </w:style>
  <w:style w:type="paragraph" w:styleId="ListParagraph">
    <w:name w:val="List Paragraph"/>
    <w:basedOn w:val="Normal"/>
    <w:uiPriority w:val="34"/>
    <w:qFormat/>
    <w:rsid w:val="00DA4AD7"/>
    <w:pPr>
      <w:ind w:left="720"/>
      <w:contextualSpacing/>
    </w:pPr>
  </w:style>
  <w:style w:type="character" w:styleId="IntenseEmphasis">
    <w:name w:val="Intense Emphasis"/>
    <w:basedOn w:val="DefaultParagraphFont"/>
    <w:uiPriority w:val="21"/>
    <w:qFormat/>
    <w:rsid w:val="00DA4AD7"/>
    <w:rPr>
      <w:i/>
      <w:iCs/>
      <w:color w:val="0F4761" w:themeColor="accent1" w:themeShade="BF"/>
    </w:rPr>
  </w:style>
  <w:style w:type="paragraph" w:styleId="IntenseQuote">
    <w:name w:val="Intense Quote"/>
    <w:basedOn w:val="Normal"/>
    <w:next w:val="Normal"/>
    <w:link w:val="IntenseQuoteChar"/>
    <w:uiPriority w:val="30"/>
    <w:qFormat/>
    <w:rsid w:val="00DA4A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4AD7"/>
    <w:rPr>
      <w:i/>
      <w:iCs/>
      <w:color w:val="0F4761" w:themeColor="accent1" w:themeShade="BF"/>
    </w:rPr>
  </w:style>
  <w:style w:type="character" w:styleId="IntenseReference">
    <w:name w:val="Intense Reference"/>
    <w:basedOn w:val="DefaultParagraphFont"/>
    <w:uiPriority w:val="32"/>
    <w:qFormat/>
    <w:rsid w:val="00DA4AD7"/>
    <w:rPr>
      <w:b/>
      <w:bCs/>
      <w:smallCaps/>
      <w:color w:val="0F4761" w:themeColor="accent1" w:themeShade="BF"/>
      <w:spacing w:val="5"/>
    </w:rPr>
  </w:style>
  <w:style w:type="character" w:styleId="Hyperlink">
    <w:name w:val="Hyperlink"/>
    <w:basedOn w:val="DefaultParagraphFont"/>
    <w:uiPriority w:val="99"/>
    <w:unhideWhenUsed/>
    <w:rsid w:val="00BE4DFA"/>
    <w:rPr>
      <w:color w:val="467886" w:themeColor="hyperlink"/>
      <w:u w:val="single"/>
    </w:rPr>
  </w:style>
  <w:style w:type="character" w:styleId="UnresolvedMention">
    <w:name w:val="Unresolved Mention"/>
    <w:basedOn w:val="DefaultParagraphFont"/>
    <w:uiPriority w:val="99"/>
    <w:semiHidden/>
    <w:unhideWhenUsed/>
    <w:rsid w:val="00BE4D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126/science.185.4157.1124" TargetMode="External"/><Relationship Id="rId5" Type="http://schemas.openxmlformats.org/officeDocument/2006/relationships/hyperlink" Target="https://doi.org/10.3390/jintelligence11020027" TargetMode="External"/><Relationship Id="rId4" Type="http://schemas.openxmlformats.org/officeDocument/2006/relationships/hyperlink" Target="https://doi.org/10.7554/elife.717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4</Pages>
  <Words>1601</Words>
  <Characters>9127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Gemma Dodds</dc:creator>
  <cp:keywords/>
  <dc:description/>
  <cp:lastModifiedBy>Gemma Dodds</cp:lastModifiedBy>
  <cp:revision>8</cp:revision>
  <dcterms:created xsi:type="dcterms:W3CDTF">2026-09-25T16:33:00Z</dcterms:created>
  <dcterms:modified xsi:type="dcterms:W3CDTF">2026-10-05T13:07:00Z</dcterms:modified>
</cp:coreProperties>
</file>