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10D70" w14:textId="7EDD0090" w:rsidR="00A20F40" w:rsidRPr="00A20F40" w:rsidRDefault="00A20F40" w:rsidP="00A20F40">
      <w:pPr>
        <w:rPr>
          <w:b/>
          <w:bCs/>
        </w:rPr>
      </w:pPr>
      <w:r w:rsidRPr="00A20F40">
        <w:rPr>
          <w:b/>
          <w:bCs/>
        </w:rPr>
        <w:t>Reflective Practice: Decision-Making and Problem-Solving</w:t>
      </w:r>
      <w:r w:rsidRPr="00A20F40">
        <w:rPr>
          <w:b/>
          <w:bCs/>
        </w:rPr>
        <w:t xml:space="preserve"> </w:t>
      </w:r>
      <w:r w:rsidRPr="00A20F40">
        <w:rPr>
          <w:b/>
          <w:bCs/>
        </w:rPr>
        <w:t>Decision</w:t>
      </w:r>
    </w:p>
    <w:p w14:paraId="184A4C91" w14:textId="77777777" w:rsidR="00A20F40" w:rsidRDefault="00A20F40" w:rsidP="00A20F40">
      <w:pPr>
        <w:ind w:firstLine="720"/>
      </w:pPr>
      <w:r>
        <w:t>One of the significant decisions I have made was a choice to undertake studies in psychology after two decades of my work and study in quite different fields. My education and professional background were primarily connected with business, finance, and management and I managed to build myself a solid white-collar career. Thus, a decision to study psychology implied not only a choice of a new academic discipline but also a possibility to redirect my professional and personal development in a different way.</w:t>
      </w:r>
      <w:r>
        <w:t xml:space="preserve"> </w:t>
      </w:r>
      <w:r>
        <w:t xml:space="preserve">In fact, my interest in psychology was not a new thing. Since childhood, I was curious about people and human </w:t>
      </w:r>
      <w:proofErr w:type="spellStart"/>
      <w:r>
        <w:t>behavio</w:t>
      </w:r>
      <w:r>
        <w:t>r</w:t>
      </w:r>
      <w:proofErr w:type="spellEnd"/>
      <w:r>
        <w:t xml:space="preserve"> and</w:t>
      </w:r>
      <w:r>
        <w:t xml:space="preserve">, for a long period of time this interest was mostly a </w:t>
      </w:r>
      <w:r>
        <w:t>hidden</w:t>
      </w:r>
      <w:r>
        <w:t xml:space="preserve"> one. I had spent a lot of time on studying a different discipline and following a completely different career path and it seemed logical to keep going.</w:t>
      </w:r>
    </w:p>
    <w:p w14:paraId="1B86650F" w14:textId="0DDFA7C0" w:rsidR="00A20F40" w:rsidRDefault="00A20F40" w:rsidP="00A20F40">
      <w:pPr>
        <w:ind w:firstLine="720"/>
      </w:pPr>
      <w:r>
        <w:t>My view started changing when I entered my forties. Even though I already had plenty of professional experience and kept developing my career, I was aware that something was missing. Most of my professional experience was related to switching between corporate clients and projects within environments where financial</w:t>
      </w:r>
      <w:r>
        <w:t xml:space="preserve"> </w:t>
      </w:r>
      <w:r>
        <w:t>objectives dominated. Although such work presented challenges to me professionally, I started questioning their significance to me personally. I realized that I spent plenty of time and cognitive resources on activities that lacked the sense of purpose and did not make a real impact on people's lives.</w:t>
      </w:r>
      <w:r>
        <w:t xml:space="preserve"> </w:t>
      </w:r>
    </w:p>
    <w:p w14:paraId="1AE79265" w14:textId="15F18DBE" w:rsidR="00A20F40" w:rsidRDefault="00A20F40" w:rsidP="00A20F40">
      <w:pPr>
        <w:ind w:firstLine="720"/>
      </w:pPr>
      <w:r>
        <w:t xml:space="preserve">There was no formalized process to making this decision. I did not make a list of alternative decisions, set up evaluation criteria, or </w:t>
      </w:r>
      <w:proofErr w:type="spellStart"/>
      <w:r>
        <w:t>analyzed</w:t>
      </w:r>
      <w:proofErr w:type="spellEnd"/>
      <w:r>
        <w:t xml:space="preserve"> possible outcomes. My arguments were mostly intuitive and were related to the desired subjective quality of the next stage of my life. Starting from scratch academically after twenty years spent in a different field was always associated with uncertainties. However, keeping doing something just because I already spent many years on my current path was never a proper argument to do it. Eventually, I decided to start my studies in psychology. Even though I was not sure how this choice will affect my professional future, I realized that</w:t>
      </w:r>
      <w:r>
        <w:t xml:space="preserve"> at least</w:t>
      </w:r>
      <w:r>
        <w:t xml:space="preserve"> I want to use my intellectual capacities for things that matter.</w:t>
      </w:r>
    </w:p>
    <w:p w14:paraId="1B81186F" w14:textId="77777777" w:rsidR="00A20F40" w:rsidRPr="00A20F40" w:rsidRDefault="00A20F40" w:rsidP="00A20F40">
      <w:pPr>
        <w:rPr>
          <w:b/>
          <w:bCs/>
        </w:rPr>
      </w:pPr>
      <w:r w:rsidRPr="00A20F40">
        <w:rPr>
          <w:b/>
          <w:bCs/>
        </w:rPr>
        <w:t>Revisiting the Decision with the Help of Module Knowledge</w:t>
      </w:r>
    </w:p>
    <w:p w14:paraId="57AE590F" w14:textId="77777777" w:rsidR="00A20F40" w:rsidRDefault="00A20F40" w:rsidP="00A20F40">
      <w:pPr>
        <w:ind w:firstLine="720"/>
      </w:pPr>
      <w:r>
        <w:t>If I were able to revisit this choice with the help of my present understanding of critical thinking and decision-making processes, I would not change my final decision, but the way to making it would change.</w:t>
      </w:r>
      <w:r>
        <w:t xml:space="preserve"> </w:t>
      </w:r>
      <w:r>
        <w:t>According to Halpern (2014) critical thinking is purposeful, reasoned, and goal-directed thinking. In accordance with the above-mentioned, I would change my problem setting from "Should I continue my corporate career or study psychology?" to "Which professional and educational path would bring more meaning but would be realistic concerning financial security, family, time, skills, and future employment?"</w:t>
      </w:r>
      <w:r>
        <w:t xml:space="preserve"> </w:t>
      </w:r>
    </w:p>
    <w:p w14:paraId="2701FA9B" w14:textId="77777777" w:rsidR="00A20F40" w:rsidRDefault="00A20F40" w:rsidP="00A20F40">
      <w:pPr>
        <w:ind w:firstLine="720"/>
      </w:pPr>
      <w:r>
        <w:t>Thus, instead of making the choice between two extremes, I would get multiple alternatives: I could either continue my current career or switch to people-oriented position within corporations, study psychology and work simultaneously, learn counselling, or gradually switch to the psychological field.</w:t>
      </w:r>
      <w:r>
        <w:t xml:space="preserve"> </w:t>
      </w:r>
      <w:r>
        <w:t xml:space="preserve">After that, I would use a structured decision-making approach described by Halpern (2014), for example, the decision worksheet. </w:t>
      </w:r>
    </w:p>
    <w:p w14:paraId="0F980F82" w14:textId="77777777" w:rsidR="00A20F40" w:rsidRDefault="00A20F40" w:rsidP="00A20F40">
      <w:pPr>
        <w:ind w:firstLine="720"/>
      </w:pPr>
      <w:r>
        <w:t>Evaluation criteria could include such factors as personal meaning, interest, financial stability, re-training time, influence on the family, employment ability, and long-term satisfaction. Every alternative would be evaluated according to these criteria. Importantly, the aspect of personal meaning would be included in the process. It does not mean that emotions should be dismissed as irrational, as a very valuable aspect should be considered together with other criteria in the process of evaluating them in a systematic way.</w:t>
      </w:r>
      <w:r>
        <w:t xml:space="preserve"> </w:t>
      </w:r>
    </w:p>
    <w:p w14:paraId="3C2948CF" w14:textId="4D751CC2" w:rsidR="00A20F40" w:rsidRDefault="00A20F40" w:rsidP="00A20F40">
      <w:pPr>
        <w:ind w:firstLine="720"/>
      </w:pPr>
      <w:r>
        <w:t>The phenomenon of confirmation bias is the tendency to look for the evidence that will confirm our ideas (Nickerson, 1998). I would intentionally research disadvantages of learning psychology including training time and money required, uncertainty of the future employment, and losses due to lower pay.</w:t>
      </w:r>
      <w:r>
        <w:t xml:space="preserve"> </w:t>
      </w:r>
      <w:r>
        <w:t xml:space="preserve">Simultaneously, I would consider the opposite influence of the sunk costs. After spending almost two decades on the same career, I can be biased to continue doing something I already have invested a lot of time in. Arkes and Blumer (1985) found out that sunk costs can </w:t>
      </w:r>
      <w:r>
        <w:t>affect</w:t>
      </w:r>
      <w:r>
        <w:t xml:space="preserve"> decisions even though past expenditures cannot be recovered. Though the previous career was not wasted, past time spent should not be the decisive factor for the future development.</w:t>
      </w:r>
    </w:p>
    <w:p w14:paraId="16DB0146" w14:textId="20DD2B0D" w:rsidR="00A20F40" w:rsidRDefault="00A20F40" w:rsidP="00A20F40">
      <w:pPr>
        <w:ind w:firstLine="720"/>
      </w:pPr>
      <w:r>
        <w:t xml:space="preserve">The main difference between my initial approach and the module-informed approach is the approach methodology. Initially the choice was made intuitively, driven by values and untested. The module-informed approach includes systematic identification of alternatives, consequences, and biases. </w:t>
      </w:r>
    </w:p>
    <w:p w14:paraId="6ACC8643" w14:textId="77777777" w:rsidR="00A20F40" w:rsidRDefault="00A20F40" w:rsidP="00A20F40"/>
    <w:p w14:paraId="43479C25" w14:textId="7D5B9818" w:rsidR="00A20F40" w:rsidRPr="00A20F40" w:rsidRDefault="00A20F40" w:rsidP="00A20F40">
      <w:pPr>
        <w:rPr>
          <w:b/>
          <w:bCs/>
        </w:rPr>
      </w:pPr>
      <w:r>
        <w:rPr>
          <w:b/>
          <w:bCs/>
        </w:rPr>
        <w:t>Second Topic for the Decision</w:t>
      </w:r>
    </w:p>
    <w:p w14:paraId="7043835A" w14:textId="0BDB2845" w:rsidR="00A20F40" w:rsidRDefault="00A20F40" w:rsidP="00A20F40">
      <w:pPr>
        <w:ind w:firstLine="720"/>
      </w:pPr>
      <w:r>
        <w:t xml:space="preserve">Another </w:t>
      </w:r>
      <w:r>
        <w:t xml:space="preserve">important decision </w:t>
      </w:r>
      <w:r>
        <w:t>emerged during my attempt to</w:t>
      </w:r>
      <w:r>
        <w:t xml:space="preserve"> set up a registered charity in the UK to</w:t>
      </w:r>
      <w:r>
        <w:t xml:space="preserve"> support women and children in </w:t>
      </w:r>
      <w:proofErr w:type="spellStart"/>
      <w:r>
        <w:t>Turkiye</w:t>
      </w:r>
      <w:proofErr w:type="spellEnd"/>
      <w:r>
        <w:t xml:space="preserve"> especially those who suffer from disasters</w:t>
      </w:r>
      <w:r>
        <w:t xml:space="preserve"> especially the biggest earthquake happened in 2023</w:t>
      </w:r>
      <w:r>
        <w:t>. The practical challenge was to translate my intention to help into some action starting from a foreign place. An important issue was whether I should join the existing charitable organization or should try to participate in the creation of some independent project.</w:t>
      </w:r>
      <w:r>
        <w:t xml:space="preserve"> </w:t>
      </w:r>
      <w:r>
        <w:t xml:space="preserve">Initially it seemed easier to join the existing organization. They can have some resources, network, experience, and even access to funding. However, after some consideration, I understood that their goals were not necessarily aligned with mine. Some organizations specialize in some </w:t>
      </w:r>
      <w:r>
        <w:t>spheres</w:t>
      </w:r>
      <w:r>
        <w:t xml:space="preserve"> like education while others do not have enough resources to support projects outside of their country. I wanted to find some umbrella under which I could support women and children and choose any NGOs in Turkey according to my needs.</w:t>
      </w:r>
      <w:r>
        <w:t xml:space="preserve"> </w:t>
      </w:r>
      <w:r>
        <w:t>The aspect of independence was very important because it gave me more freedom to choose organizations and projects to support rather than being limited by another organization's priorities.</w:t>
      </w:r>
    </w:p>
    <w:p w14:paraId="53D9504F" w14:textId="6FC02F86" w:rsidR="00A20F40" w:rsidRDefault="00A20F40" w:rsidP="00A20F40">
      <w:pPr>
        <w:ind w:firstLine="720"/>
      </w:pPr>
      <w:r>
        <w:t>However, later I faced another challenge which was much harder than expected - to raise funds. Funding from the UK to support beneficiaries from another country turned out to be much more challenging than I expected. While independence gave me more freedom, established organizations had funding sources, infrastructure, and good reputation which were hard to obtain in the independent case.</w:t>
      </w:r>
      <w:r>
        <w:t xml:space="preserve"> </w:t>
      </w:r>
      <w:r>
        <w:t xml:space="preserve">My reaction was mostly practical and step-by-step. I was using my community connections, events, individual contributions, and collaboration to gather support. I used the </w:t>
      </w:r>
      <w:r>
        <w:t>opportunities,</w:t>
      </w:r>
      <w:r>
        <w:t xml:space="preserve"> but I did not follow any formal problem-solving process. Although it gave me some positive activity, raising the funds sustainably remained problematic. Therefore, I cannot say that the initial approach was the best one.</w:t>
      </w:r>
    </w:p>
    <w:p w14:paraId="52EAD2AC" w14:textId="77777777" w:rsidR="00A20F40" w:rsidRPr="00A20F40" w:rsidRDefault="00A20F40" w:rsidP="00A20F40">
      <w:pPr>
        <w:rPr>
          <w:b/>
          <w:bCs/>
        </w:rPr>
      </w:pPr>
    </w:p>
    <w:p w14:paraId="15A0E083" w14:textId="77777777" w:rsidR="00A20F40" w:rsidRPr="00A20F40" w:rsidRDefault="00A20F40" w:rsidP="00A20F40">
      <w:pPr>
        <w:rPr>
          <w:b/>
          <w:bCs/>
        </w:rPr>
      </w:pPr>
      <w:r w:rsidRPr="00A20F40">
        <w:rPr>
          <w:b/>
          <w:bCs/>
        </w:rPr>
        <w:t>Revisiting the Problem with the Help of Module Knowledge</w:t>
      </w:r>
    </w:p>
    <w:p w14:paraId="5A45932E" w14:textId="59EE98B8" w:rsidR="00A20F40" w:rsidRDefault="00A20F40" w:rsidP="00A20F40">
      <w:pPr>
        <w:ind w:firstLine="720"/>
      </w:pPr>
      <w:r>
        <w:t xml:space="preserve">The first thing I noticed while considering my case </w:t>
      </w:r>
      <w:r>
        <w:t>about</w:t>
      </w:r>
      <w:r>
        <w:t xml:space="preserve"> the module is that my initial difficulty lied in the problem definition. Poorly defined problems are considered as the barrier to effective problem solving in the seminar and well-defined problems are distinguished from ill-defined ones. In my case, the problem was very ill-defined because "helping women and children in </w:t>
      </w:r>
      <w:proofErr w:type="spellStart"/>
      <w:r>
        <w:t>Turk</w:t>
      </w:r>
      <w:r w:rsidR="008F129B">
        <w:t>i</w:t>
      </w:r>
      <w:r>
        <w:t>y</w:t>
      </w:r>
      <w:r w:rsidR="008F129B">
        <w:t>e</w:t>
      </w:r>
      <w:proofErr w:type="spellEnd"/>
      <w:r>
        <w:t>" was not formulated in a clear single goal, resource level, or a solution.</w:t>
      </w:r>
      <w:r>
        <w:t xml:space="preserve"> </w:t>
      </w:r>
      <w:r>
        <w:t xml:space="preserve">More importantly, my preferred solution was included in my problem formulation. In other words, my problem statement was "How can I establish some autonomous mechanism to support the causes I select?" It should be replaced with "What is the most sustainable mechanism by which I can support women and children in </w:t>
      </w:r>
      <w:proofErr w:type="spellStart"/>
      <w:r w:rsidR="008F129B">
        <w:t>Turkiye</w:t>
      </w:r>
      <w:proofErr w:type="spellEnd"/>
      <w:r>
        <w:t xml:space="preserve"> having sufficient flexibility to collaborate with diverse NGOs?"</w:t>
      </w:r>
      <w:r>
        <w:t xml:space="preserve"> </w:t>
      </w:r>
      <w:r>
        <w:t>In order to define the problem space which is discussed by Newell and Simon (1972), we can separate the initial state which is: the base located in the UK, the desire to help some vulnerable people in Turkey, and the lack of infrastructure to raise the funds independently. The goal is not to create a personal charity but to find the mechanism that would allow reaching this goal.</w:t>
      </w:r>
      <w:r w:rsidR="008F129B">
        <w:t xml:space="preserve"> </w:t>
      </w:r>
      <w:r>
        <w:t xml:space="preserve">Means-ends analysis which is one of the problem-solving </w:t>
      </w:r>
      <w:r w:rsidR="008F129B">
        <w:t>techniques</w:t>
      </w:r>
      <w:r>
        <w:t xml:space="preserve"> mentioned in the module can be used. Instead of considering "funding" as the main problem, the gap between initial and desired state can be divided into smaller challenges like donor access, credibility, administrative capabilities, partnership, funding channels, and impact evidence.</w:t>
      </w:r>
    </w:p>
    <w:p w14:paraId="001C9DFE" w14:textId="67B878DE" w:rsidR="00A20F40" w:rsidRDefault="00A20F40" w:rsidP="00A20F40">
      <w:pPr>
        <w:ind w:firstLine="720"/>
      </w:pPr>
      <w:r>
        <w:t>The backward reasoning would also be helpful. If the goal is to provide £10,000 every year to the selected NGOs, we can begin with that and determine the mix of grants, events, individual donations, and partnerships that would be necessary to achieve this goal. This, in its turn, will allow us to determine the volunteer effort, networks, and organizational structure that would be needed to reach the goal.</w:t>
      </w:r>
      <w:r>
        <w:t xml:space="preserve"> </w:t>
      </w:r>
      <w:r>
        <w:t xml:space="preserve">Also, it is important to generate multiple alternatives before deciding on any single one. As </w:t>
      </w:r>
      <w:proofErr w:type="spellStart"/>
      <w:r>
        <w:t>D'Zurilla</w:t>
      </w:r>
      <w:proofErr w:type="spellEnd"/>
      <w:r>
        <w:t xml:space="preserve"> and Goldfried (1971) stated in their research, problem solving includes problem definition, generation of alternatives, decision-making, and verification. Possible alternatives can include establishment of an independent organization, joining the existing charity, creation of a Turkey-related program in some existing organization, establishing a partnership with multiple charities, fundraising initiative, and a hybrid model when the existing organization provides the infrastructure while the person has more freedom in choosing projects.</w:t>
      </w:r>
    </w:p>
    <w:p w14:paraId="5970FB9E" w14:textId="772CAA79" w:rsidR="00A20F40" w:rsidRDefault="00A20F40" w:rsidP="00A20F40">
      <w:pPr>
        <w:ind w:firstLine="720"/>
      </w:pPr>
      <w:r>
        <w:t>The difference between my initial approach and the module-informed approach is significant. While the former began with values and made a quick move towards the preferred solution, the latter separates the goal from the preferred solution, defines the problem, generates alternatives, and considers outcomes.</w:t>
      </w:r>
    </w:p>
    <w:p w14:paraId="61CF5956" w14:textId="4496BF90" w:rsidR="00452C97" w:rsidRDefault="00A20F40" w:rsidP="00A20F40">
      <w:pPr>
        <w:ind w:firstLine="720"/>
      </w:pPr>
      <w:r>
        <w:t>Overall, the most important lesson learned in these experiences is that critical thinking does not imply discarding of intuition, values, or emotional meaning. On the contrary, it implies a way to consider them. In my choice of psychology, it could help me to test whether the meaningful choice is also supported by evidence. In the case of charitable activity, it could help me to distinguish the goal from the initially preferred solution.</w:t>
      </w:r>
    </w:p>
    <w:p w14:paraId="459AAB4C" w14:textId="77777777" w:rsidR="00A20F40" w:rsidRDefault="00A20F40" w:rsidP="00A20F40"/>
    <w:p w14:paraId="096D8EB3" w14:textId="77777777" w:rsidR="00A20F40" w:rsidRPr="00A20F40" w:rsidRDefault="00A20F40" w:rsidP="00A20F40">
      <w:pPr>
        <w:rPr>
          <w:b/>
          <w:bCs/>
        </w:rPr>
      </w:pPr>
      <w:r w:rsidRPr="00A20F40">
        <w:rPr>
          <w:b/>
          <w:bCs/>
        </w:rPr>
        <w:t>References</w:t>
      </w:r>
    </w:p>
    <w:p w14:paraId="4B080F51" w14:textId="77777777" w:rsidR="00A20F40" w:rsidRPr="00A20F40" w:rsidRDefault="00A20F40" w:rsidP="00A20F40">
      <w:r w:rsidRPr="00A20F40">
        <w:t xml:space="preserve">Arkes, H. R., &amp; Blumer, C. (1985). The psychology of sunk cost. </w:t>
      </w:r>
      <w:r w:rsidRPr="00A20F40">
        <w:rPr>
          <w:i/>
          <w:iCs/>
        </w:rPr>
        <w:t xml:space="preserve">Organizational </w:t>
      </w:r>
      <w:proofErr w:type="spellStart"/>
      <w:r w:rsidRPr="00A20F40">
        <w:rPr>
          <w:i/>
          <w:iCs/>
        </w:rPr>
        <w:t>Behavior</w:t>
      </w:r>
      <w:proofErr w:type="spellEnd"/>
      <w:r w:rsidRPr="00A20F40">
        <w:rPr>
          <w:i/>
          <w:iCs/>
        </w:rPr>
        <w:t xml:space="preserve"> and Human Decision Processes, 35</w:t>
      </w:r>
      <w:r w:rsidRPr="00A20F40">
        <w:t xml:space="preserve">(1), 124–140. </w:t>
      </w:r>
      <w:hyperlink r:id="rId4" w:history="1">
        <w:r w:rsidRPr="00A20F40">
          <w:rPr>
            <w:rStyle w:val="Hyperlink"/>
          </w:rPr>
          <w:t>https://doi.org/10.1016/0749-5978(85)90049-4</w:t>
        </w:r>
      </w:hyperlink>
    </w:p>
    <w:p w14:paraId="0F40694D" w14:textId="77777777" w:rsidR="00A20F40" w:rsidRPr="00A20F40" w:rsidRDefault="00A20F40" w:rsidP="00A20F40">
      <w:proofErr w:type="spellStart"/>
      <w:r w:rsidRPr="00A20F40">
        <w:t>D'Zurilla</w:t>
      </w:r>
      <w:proofErr w:type="spellEnd"/>
      <w:r w:rsidRPr="00A20F40">
        <w:t xml:space="preserve">, T. J., &amp; Goldfried, M. R. (1971). Problem solving and </w:t>
      </w:r>
      <w:proofErr w:type="spellStart"/>
      <w:r w:rsidRPr="00A20F40">
        <w:t>behavior</w:t>
      </w:r>
      <w:proofErr w:type="spellEnd"/>
      <w:r w:rsidRPr="00A20F40">
        <w:t xml:space="preserve"> modification. </w:t>
      </w:r>
      <w:r w:rsidRPr="00A20F40">
        <w:rPr>
          <w:i/>
          <w:iCs/>
        </w:rPr>
        <w:t>Journal of Abnormal Psychology, 78</w:t>
      </w:r>
      <w:r w:rsidRPr="00A20F40">
        <w:t xml:space="preserve">(1), 107–126. </w:t>
      </w:r>
      <w:hyperlink r:id="rId5" w:history="1">
        <w:r w:rsidRPr="00A20F40">
          <w:rPr>
            <w:rStyle w:val="Hyperlink"/>
          </w:rPr>
          <w:t>https://doi.org/10.1037/h0031360</w:t>
        </w:r>
      </w:hyperlink>
    </w:p>
    <w:p w14:paraId="35145E67" w14:textId="77777777" w:rsidR="00A20F40" w:rsidRPr="00A20F40" w:rsidRDefault="00A20F40" w:rsidP="00A20F40">
      <w:r w:rsidRPr="00A20F40">
        <w:t xml:space="preserve">Halpern, D. F. (2014). </w:t>
      </w:r>
      <w:r w:rsidRPr="00A20F40">
        <w:rPr>
          <w:i/>
          <w:iCs/>
        </w:rPr>
        <w:t>Thought and knowledge: An introduction to critical thinking</w:t>
      </w:r>
      <w:r w:rsidRPr="00A20F40">
        <w:t xml:space="preserve"> (5th ed.). Psychology Press.</w:t>
      </w:r>
    </w:p>
    <w:p w14:paraId="69766E6E" w14:textId="77777777" w:rsidR="00A20F40" w:rsidRPr="00A20F40" w:rsidRDefault="00A20F40" w:rsidP="00A20F40">
      <w:r w:rsidRPr="00A20F40">
        <w:t xml:space="preserve">Newell, A., &amp; Simon, H. A. (1972). </w:t>
      </w:r>
      <w:r w:rsidRPr="00A20F40">
        <w:rPr>
          <w:i/>
          <w:iCs/>
        </w:rPr>
        <w:t>Human problem solving</w:t>
      </w:r>
      <w:r w:rsidRPr="00A20F40">
        <w:t>. Prentice-Hall.</w:t>
      </w:r>
    </w:p>
    <w:p w14:paraId="7F776A11" w14:textId="77777777" w:rsidR="00A20F40" w:rsidRPr="00A20F40" w:rsidRDefault="00A20F40" w:rsidP="00A20F40">
      <w:r w:rsidRPr="00A20F40">
        <w:t xml:space="preserve">Nickerson, R. S. (1998). Confirmation bias: A ubiquitous phenomenon in many guises. </w:t>
      </w:r>
      <w:r w:rsidRPr="00A20F40">
        <w:rPr>
          <w:i/>
          <w:iCs/>
        </w:rPr>
        <w:t>Review of General Psychology, 2</w:t>
      </w:r>
      <w:r w:rsidRPr="00A20F40">
        <w:t xml:space="preserve">(2), 175–220. </w:t>
      </w:r>
      <w:hyperlink r:id="rId6" w:history="1">
        <w:r w:rsidRPr="00A20F40">
          <w:rPr>
            <w:rStyle w:val="Hyperlink"/>
          </w:rPr>
          <w:t>https://doi.org/10.1037/1089-2680.2.2.175</w:t>
        </w:r>
      </w:hyperlink>
    </w:p>
    <w:p w14:paraId="7886CF7D" w14:textId="77777777" w:rsidR="00A20F40" w:rsidRDefault="00A20F40" w:rsidP="00A20F40"/>
    <w:sectPr w:rsidR="00A20F4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C97"/>
    <w:rsid w:val="004519C2"/>
    <w:rsid w:val="00452C97"/>
    <w:rsid w:val="008F129B"/>
    <w:rsid w:val="00A20F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63343"/>
  <w15:chartTrackingRefBased/>
  <w15:docId w15:val="{6B63085E-391F-4F90-B6A2-967C21E0B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C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C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C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C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C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C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C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C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C97"/>
    <w:rPr>
      <w:rFonts w:eastAsiaTheme="majorEastAsia" w:cstheme="majorBidi"/>
      <w:color w:val="272727" w:themeColor="text1" w:themeTint="D8"/>
    </w:rPr>
  </w:style>
  <w:style w:type="paragraph" w:styleId="Title">
    <w:name w:val="Title"/>
    <w:basedOn w:val="Normal"/>
    <w:next w:val="Normal"/>
    <w:link w:val="TitleChar"/>
    <w:uiPriority w:val="10"/>
    <w:qFormat/>
    <w:rsid w:val="00452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C97"/>
    <w:pPr>
      <w:spacing w:before="160"/>
      <w:jc w:val="center"/>
    </w:pPr>
    <w:rPr>
      <w:i/>
      <w:iCs/>
      <w:color w:val="404040" w:themeColor="text1" w:themeTint="BF"/>
    </w:rPr>
  </w:style>
  <w:style w:type="character" w:customStyle="1" w:styleId="QuoteChar">
    <w:name w:val="Quote Char"/>
    <w:basedOn w:val="DefaultParagraphFont"/>
    <w:link w:val="Quote"/>
    <w:uiPriority w:val="29"/>
    <w:rsid w:val="00452C97"/>
    <w:rPr>
      <w:i/>
      <w:iCs/>
      <w:color w:val="404040" w:themeColor="text1" w:themeTint="BF"/>
    </w:rPr>
  </w:style>
  <w:style w:type="paragraph" w:styleId="ListParagraph">
    <w:name w:val="List Paragraph"/>
    <w:basedOn w:val="Normal"/>
    <w:uiPriority w:val="34"/>
    <w:qFormat/>
    <w:rsid w:val="00452C97"/>
    <w:pPr>
      <w:ind w:left="720"/>
      <w:contextualSpacing/>
    </w:pPr>
  </w:style>
  <w:style w:type="character" w:styleId="IntenseEmphasis">
    <w:name w:val="Intense Emphasis"/>
    <w:basedOn w:val="DefaultParagraphFont"/>
    <w:uiPriority w:val="21"/>
    <w:qFormat/>
    <w:rsid w:val="00452C97"/>
    <w:rPr>
      <w:i/>
      <w:iCs/>
      <w:color w:val="0F4761" w:themeColor="accent1" w:themeShade="BF"/>
    </w:rPr>
  </w:style>
  <w:style w:type="paragraph" w:styleId="IntenseQuote">
    <w:name w:val="Intense Quote"/>
    <w:basedOn w:val="Normal"/>
    <w:next w:val="Normal"/>
    <w:link w:val="IntenseQuoteChar"/>
    <w:uiPriority w:val="30"/>
    <w:qFormat/>
    <w:rsid w:val="00452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C97"/>
    <w:rPr>
      <w:i/>
      <w:iCs/>
      <w:color w:val="0F4761" w:themeColor="accent1" w:themeShade="BF"/>
    </w:rPr>
  </w:style>
  <w:style w:type="character" w:styleId="IntenseReference">
    <w:name w:val="Intense Reference"/>
    <w:basedOn w:val="DefaultParagraphFont"/>
    <w:uiPriority w:val="32"/>
    <w:qFormat/>
    <w:rsid w:val="00452C97"/>
    <w:rPr>
      <w:b/>
      <w:bCs/>
      <w:smallCaps/>
      <w:color w:val="0F4761" w:themeColor="accent1" w:themeShade="BF"/>
      <w:spacing w:val="5"/>
    </w:rPr>
  </w:style>
  <w:style w:type="character" w:styleId="Hyperlink">
    <w:name w:val="Hyperlink"/>
    <w:basedOn w:val="DefaultParagraphFont"/>
    <w:uiPriority w:val="99"/>
    <w:unhideWhenUsed/>
    <w:rsid w:val="00A20F40"/>
    <w:rPr>
      <w:color w:val="467886" w:themeColor="hyperlink"/>
      <w:u w:val="single"/>
    </w:rPr>
  </w:style>
  <w:style w:type="character" w:styleId="UnresolvedMention">
    <w:name w:val="Unresolved Mention"/>
    <w:basedOn w:val="DefaultParagraphFont"/>
    <w:uiPriority w:val="99"/>
    <w:semiHidden/>
    <w:unhideWhenUsed/>
    <w:rsid w:val="00A20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37/1089-2680.2.2.175" TargetMode="External"/><Relationship Id="rId5" Type="http://schemas.openxmlformats.org/officeDocument/2006/relationships/hyperlink" Target="https://doi.org/10.1037/h0031360" TargetMode="External"/><Relationship Id="rId4" Type="http://schemas.openxmlformats.org/officeDocument/2006/relationships/hyperlink" Target="https://doi.org/10.1016/0749-5978(85)9004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1695</Words>
  <Characters>9663</Characters>
  <Application>Microsoft Office Word</Application>
  <DocSecurity>0</DocSecurity>
  <Lines>80</Lines>
  <Paragraphs>22</Paragraphs>
  <ScaleCrop>false</ScaleCrop>
  <Company/>
  <LinksUpToDate>false</LinksUpToDate>
  <CharactersWithSpaces>11336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Burcu Arslan</dc:creator>
  <cp:keywords/>
  <dc:description/>
  <cp:lastModifiedBy>Burcu Arslan</cp:lastModifiedBy>
  <cp:revision>3</cp:revision>
  <dcterms:created xsi:type="dcterms:W3CDTF">2026-10-04T18:48:00Z</dcterms:created>
  <dcterms:modified xsi:type="dcterms:W3CDTF">2026-10-04T19:01:00Z</dcterms:modified>
</cp:coreProperties>
</file>