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Amiee Kostiadis</w:t>
      </w:r>
    </w:p>
    <w:p>
      <w:pPr>
        <w:keepNext/>
        <w:spacing w:after="40"/>
      </w:pPr>
      <w:r>
        <w:t>Overall grade: 65% (2:1)</w:t>
      </w:r>
    </w:p>
    <w:p>
      <w:pPr>
        <w:keepNext/>
        <w:spacing w:after="40"/>
      </w:pPr>
      <w:r>
        <w:t>Calculated weighted result: 65.00%; reported stepped mark: 65%</w:t>
      </w:r>
    </w:p>
    <w:p>
      <w:pPr>
        <w:keepNext/>
        <w:spacing w:after="40"/>
      </w:pPr>
      <w:r>
        <w:t>Coverage: all 16 subcriteria substantively covered; no grade ceiling applies</w:t>
      </w:r>
    </w:p>
    <w:p>
      <w:pPr>
        <w:pStyle w:val="Heading2"/>
        <w:keepNext/>
      </w:pPr>
      <w:r>
        <w:t>Strengths</w:t>
      </w:r>
    </w:p>
    <w:p>
      <w:pPr>
        <w:pStyle w:val="ListBullet"/>
      </w:pPr>
      <w:r>
        <w:t>You apply Gricean and critical-thinking concepts across all required components.</w:t>
      </w:r>
    </w:p>
    <w:p>
      <w:pPr>
        <w:pStyle w:val="ListBullet"/>
      </w:pPr>
      <w:r>
        <w:t>Your two peer responses add genuine critique, evidence and alternative explanations.</w:t>
      </w:r>
    </w:p>
    <w:p>
      <w:pPr>
        <w:pStyle w:val="ListBullet"/>
      </w:pPr>
      <w:r>
        <w:t>Your wider reading and realistic agency applications support independent reasoning.</w:t>
      </w:r>
    </w:p>
    <w:p>
      <w:pPr>
        <w:pStyle w:val="Heading2"/>
        <w:keepNext/>
      </w:pPr>
      <w:r>
        <w:t>Areas for improvement</w:t>
      </w:r>
    </w:p>
    <w:p>
      <w:pPr>
        <w:pStyle w:val="ListBullet"/>
      </w:pPr>
      <w:r>
        <w:t>Deepen the distinction between maxim violation, flouting and theoretical fit.</w:t>
      </w:r>
    </w:p>
    <w:p>
      <w:pPr>
        <w:pStyle w:val="ListBullet"/>
      </w:pPr>
      <w:r>
        <w:t>Evaluate research designs and outcomes instead of mainly reporting findings.</w:t>
      </w:r>
    </w:p>
    <w:p>
      <w:pPr>
        <w:pStyle w:val="ListBullet"/>
      </w:pPr>
      <w:r>
        <w:t>Improve conceptual wording, sentence control and APA consistency through proofreading.</w:t>
      </w:r>
    </w:p>
    <w:p>
      <w:pPr>
        <w:pStyle w:val="Heading2"/>
        <w:keepNext/>
      </w:pPr>
      <w:r>
        <w:t>Criterion 1: Knowledge and Understanding — 64%</w:t>
      </w:r>
    </w:p>
    <w:p>
      <w:pPr>
        <w:keepLines/>
      </w:pPr>
      <w:r>
        <w:t>You give an accurate account of Grice's Cooperative Principle, the relevant maxims and Halpern's conception of critical thinking. You also describe psychographic targeting through audience selection and personalised messaging, recognise that critical-thinking skills can be learned, and propose realistic agency methods such as varied practice, peer review and post-campaign evaluation. Your distinction between persuasion and deception, and between good reasoning and ethical use, is especially strong. Well explained. For greater precision, use ‘maxims’ rather than ‘sayings’, distinguish self-reported traits from traits inferred by platforms or algorithms, and explain how an agency could measure whether training transfers to real decisions.</w:t>
      </w:r>
    </w:p>
    <w:p>
      <w:pPr>
        <w:pStyle w:val="Heading2"/>
        <w:keepNext/>
      </w:pPr>
      <w:r>
        <w:t>Criterion 2: Critical Analysis and Evaluation — 66%</w:t>
      </w:r>
    </w:p>
    <w:p>
      <w:pPr>
        <w:keepLines/>
      </w:pPr>
      <w:r>
        <w:t>You apply individual Gricean maxims rather than simply declaring psychographic targeting uncooperative, and you evaluate selective information, omissions, framing, unsupported claims, causal assumptions, alternative explanations and bias. You connect Halpern's skills to realistic agency practice while recognising that sound reasoning does not guarantee responsible communication. Your peer responses add useful counterarguments and theoretical limits, supporting a qualified overall judgement. Very good. To reach First-class quality, distinguish maxim violation from flouting, evaluate how well a theory of interpersonal conversation fits mass advertising, examine practical costs and incentives, and integrate your strongest qualifications throughout the initial post.</w:t>
      </w:r>
    </w:p>
    <w:p>
      <w:pPr>
        <w:pStyle w:val="Heading2"/>
        <w:keepNext/>
        <w:pageBreakBefore/>
      </w:pPr>
      <w:r>
        <w:t>Criterion 3: Communication — 64%</w:t>
      </w:r>
    </w:p>
    <w:p>
      <w:pPr>
        <w:keepLines/>
      </w:pPr>
      <w:r>
        <w:t>Your initial post is logically organised across the required areas and ends with a supported conclusion. Claims are generally clear, and both required peer responses critically engage with others by adding evidence, alternatives and constructive challenges rather than merely agreeing. This collaborative work is a particular strength. Nice work. Some awkward phrasing, comma splices and imprecise terms reduce fluency. State a sharper thesis near the beginning, proofread longer sentences carefully, and show explicitly where a peer's challenge changed, refined or confirmed your own judgement.</w:t>
      </w:r>
    </w:p>
    <w:p>
      <w:pPr>
        <w:pStyle w:val="Heading2"/>
        <w:keepNext/>
      </w:pPr>
      <w:r>
        <w:t>Criterion 4: Reading and Referencing — 66%</w:t>
      </w:r>
    </w:p>
    <w:p>
      <w:pPr>
        <w:keepLines/>
      </w:pPr>
      <w:r>
        <w:t>You use relevant core scholarship, appropriate empirical research and credible wider reading to support your argument. Sources are generally integrated into the reasoning, and the breadth of reading shows intellectual independence. Well done. To strengthen the evidence base, connect each theoretical citation to the exact claim it supports and describe what each study's design and outcomes can, and cannot, establish. Balance breadth with deeper evaluation of the most important studies. In the reference list, complete the aimClear entry, remove the unnecessary ‘DOI’ label and standardise punctuation.</w:t>
      </w:r>
    </w:p>
    <w:p>
      <w:pPr>
        <w:pStyle w:val="Heading1"/>
        <w:keepNext/>
      </w:pPr>
      <w:r>
        <w:t>Overall assessment — 65% (2:1)</w:t>
      </w:r>
    </w:p>
    <w:p>
      <w:pPr>
        <w:keepLines/>
      </w:pPr>
      <w:r>
        <w:t>The weighted calculation uses the reported whole-number criterion grades: 64% × 30% + 66% × 25% + 64% × 20% + 66% × 25% = 65.00%, giving a reported stepped mark of 65%. No critical-component ceiling applies. This is a very good 2:1 assignment with thoughtful, independent reasoning. It remains below a First because research findings are more often reported than methodologically evaluated, and several of the strongest qualifications appear mainly in the peer responses. Greater conceptual and evidential precision would strengthen the work further.</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Amiee Kostiadis – Critical Thinking Feedback</dc:title>
  <dc:subject>Text-only grading sample</dc:subject>
  <dc:creator>University of Edinburgh feedback sample</dc:creator>
  <cp:keywords/>
  <dc:description>generated by python-docx</dc:description>
  <cp:lastModifiedBy/>
  <cp:revision>1</cp:revision>
  <dcterms:created xsi:type="dcterms:W3CDTF">2013-12-23T23:15:00Z</dcterms:created>
  <dcterms:modified xsi:type="dcterms:W3CDTF">2013-12-23T23:15:00Z</dcterms:modified>
  <cp:category/>
</cp:coreProperties>
</file>