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Arun Avami</w:t>
      </w:r>
    </w:p>
    <w:p>
      <w:pPr>
        <w:keepNext/>
        <w:spacing w:after="40"/>
      </w:pPr>
      <w:r>
        <w:t>Overall grade: 55% (2:2)</w:t>
      </w:r>
    </w:p>
    <w:p>
      <w:pPr>
        <w:keepNext/>
        <w:spacing w:after="40"/>
      </w:pPr>
      <w:r>
        <w:t>Calculated weighted result: 61.90%; reported stepped mark: 55%</w:t>
      </w:r>
    </w:p>
    <w:p>
      <w:pPr>
        <w:keepNext/>
        <w:spacing w:after="40"/>
      </w:pPr>
      <w:r>
        <w:t>Coverage: all 16 subcriteria substantively covered; scholarly-evidence ceiling of 59% applies</w:t>
      </w:r>
    </w:p>
    <w:p>
      <w:pPr>
        <w:pStyle w:val="Heading2"/>
        <w:keepNext/>
      </w:pPr>
      <w:r>
        <w:t>Strengths</w:t>
      </w:r>
    </w:p>
    <w:p>
      <w:pPr>
        <w:pStyle w:val="ListBullet"/>
      </w:pPr>
      <w:r>
        <w:t>You present a clear, forceful thesis linking targeting, Grice and critical thinking.</w:t>
      </w:r>
    </w:p>
    <w:p>
      <w:pPr>
        <w:pStyle w:val="ListBullet"/>
      </w:pPr>
      <w:r>
        <w:t>You distinguish critical analysis from motivated rationalisation in the peer discussion.</w:t>
      </w:r>
    </w:p>
    <w:p>
      <w:pPr>
        <w:pStyle w:val="ListBullet"/>
      </w:pPr>
      <w:r>
        <w:t>Your responses challenge peers constructively and consider organisational incentives.</w:t>
      </w:r>
    </w:p>
    <w:p>
      <w:pPr>
        <w:pStyle w:val="Heading2"/>
        <w:keepNext/>
      </w:pPr>
      <w:r>
        <w:t>Areas for improvement</w:t>
      </w:r>
    </w:p>
    <w:p>
      <w:pPr>
        <w:pStyle w:val="ListBullet"/>
      </w:pPr>
      <w:r>
        <w:t>Qualify the claim that psychographic targeting fundamentally violates Grice's principle.</w:t>
      </w:r>
    </w:p>
    <w:p>
      <w:pPr>
        <w:pStyle w:val="ListBullet"/>
      </w:pPr>
      <w:r>
        <w:t>Support empirical claims with relevant journal research and wider academic reading.</w:t>
      </w:r>
    </w:p>
    <w:p>
      <w:pPr>
        <w:pStyle w:val="ListBullet"/>
      </w:pPr>
      <w:r>
        <w:t>Separate effective strategic reasoning from ethical or genuinely critical judgement.</w:t>
      </w:r>
    </w:p>
    <w:p>
      <w:pPr>
        <w:pStyle w:val="Heading2"/>
        <w:keepNext/>
      </w:pPr>
      <w:r>
        <w:t>Criterion 1: Knowledge and Understanding — 64%</w:t>
      </w:r>
    </w:p>
    <w:p>
      <w:pPr>
        <w:keepLines/>
      </w:pPr>
      <w:r>
        <w:t>You show good knowledge of Grice's maxims, dual-process ideas and Halpern's emphasis on transferable critical-thinking skills. Your account of A/B testing and reflective review gives the organisational application a practical basis. Well explained. At points, however, you treat psychographic targeting as inherently deceptive and sophisticated strategy as evidence of critical thinking. Personalisation can be accurate and transparent, while successful optimisation can also be uncritical if goals and assumptions go unexamined. Greater conceptual discrimination would make the argument more convincing.</w:t>
      </w:r>
    </w:p>
    <w:p>
      <w:pPr>
        <w:pStyle w:val="Heading2"/>
        <w:keepNext/>
      </w:pPr>
      <w:r>
        <w:t>Criterion 2: Critical Analysis and Evaluation — 65%</w:t>
      </w:r>
    </w:p>
    <w:p>
      <w:pPr>
        <w:keepLines/>
      </w:pPr>
      <w:r>
        <w:t>Your analysis of card stacking, selective evidence and the possible exploitation of voters is thoughtful, and your peer responses usefully question whether agencies are reasoning critically or merely rationalising a predetermined objective. You also recognise that incentives can constrain ethical reflection. Nice work. The categorical claim that targeting 'fundamentally violates' Grice is not fully supported: a tailored message could satisfy all four maxims. Test your position against that counterexample, distinguish violation from flouting, and explain what evidence would show manipulation rather than ordinary persuasive selectivity.</w:t>
      </w:r>
    </w:p>
    <w:p>
      <w:pPr>
        <w:pStyle w:val="Heading2"/>
        <w:keepNext/>
        <w:pageBreakBefore/>
      </w:pPr>
      <w:r>
        <w:t>Criterion 3: Communication — 66%</w:t>
      </w:r>
    </w:p>
    <w:p>
      <w:pPr>
        <w:keepLines/>
      </w:pPr>
      <w:r>
        <w:t>The submission has a clear direction, confident expression and a supported conclusion. Both required peer responses do more than agree: they challenge assumptions, introduce distinctions and extend the discussion to organisational and voter perspectives. Some statements are too absolute, which makes the argument sound more certain than the evidence permits. Use qualified language, define key terms consistently and make the relationship between strategic success, critical thinking and ethical judgement explicit throughout.</w:t>
      </w:r>
    </w:p>
    <w:p>
      <w:pPr>
        <w:pStyle w:val="Heading2"/>
        <w:keepNext/>
      </w:pPr>
      <w:r>
        <w:t>Criterion 4: Reading and Referencing — 53%</w:t>
      </w:r>
    </w:p>
    <w:p>
      <w:pPr>
        <w:keepLines/>
      </w:pPr>
      <w:r>
        <w:t>You use relevant course concepts and identifiable sources, but the evidence base relies mainly on textbooks, a video, the assigned commercial article and a general-audience book. There is no meaningful body of journal research or wider academic evidence supporting the empirical claims about targeting, training or persuasion. This triggers the rubric's maximum overall grade of 59 before stepped reporting. To remove that ceiling, use primary studies and reviews, explain what their designs and results show, and integrate them directly into your evaluation rather than adding them as background authority.</w:t>
      </w:r>
    </w:p>
    <w:p>
      <w:pPr>
        <w:pStyle w:val="Heading1"/>
        <w:keepNext/>
      </w:pPr>
      <w:r>
        <w:t>Overall assessment — 55% (2:2)</w:t>
      </w:r>
    </w:p>
    <w:p>
      <w:pPr>
        <w:keepLines/>
      </w:pPr>
      <w:r>
        <w:t>The weighted calculation uses the reported whole-number criterion grades: 64% × 30% + 65% × 25% + 66% × 20% + 53% × 25% = 61.90%. The scholarly-evidence ceiling limits the result to 59%, giving a reported stepped mark of 55%. Your reasoning is often good 2:1 quality and the peer engagement is a particular strength. The reported mark is lower because the submission does not provide the meaningful journal research or wider academic reading required for a 2:1 under the stated grading method.</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 Avami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