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Claudia Capontes Oliver</w:t>
      </w:r>
    </w:p>
    <w:p>
      <w:pPr>
        <w:keepNext/>
        <w:spacing w:after="40"/>
      </w:pPr>
      <w:r>
        <w:t>Overall grade: 65% (2:1)</w:t>
      </w:r>
    </w:p>
    <w:p>
      <w:pPr>
        <w:keepNext/>
        <w:spacing w:after="40"/>
      </w:pPr>
      <w:r>
        <w:t>Calculated weighted result: 67.25%; reported stepped mark: 65%</w:t>
      </w:r>
    </w:p>
    <w:p>
      <w:pPr>
        <w:keepNext/>
        <w:spacing w:after="40"/>
      </w:pPr>
      <w:r>
        <w:t>Coverage: all 16 subcriteria substantively covered; no grade ceiling applies</w:t>
      </w:r>
    </w:p>
    <w:p>
      <w:pPr>
        <w:pStyle w:val="Heading2"/>
        <w:keepNext/>
      </w:pPr>
      <w:r>
        <w:t>Strengths</w:t>
      </w:r>
    </w:p>
    <w:p>
      <w:pPr>
        <w:pStyle w:val="ListBullet"/>
      </w:pPr>
      <w:r>
        <w:t>You build a nuanced argument about persuasion, legitimacy and manipulation.</w:t>
      </w:r>
    </w:p>
    <w:p>
      <w:pPr>
        <w:pStyle w:val="ListBullet"/>
      </w:pPr>
      <w:r>
        <w:t>You apply critical-thinking training and transfer ideas to realistic agency practice.</w:t>
      </w:r>
    </w:p>
    <w:p>
      <w:pPr>
        <w:pStyle w:val="ListBullet"/>
      </w:pPr>
      <w:r>
        <w:t>Your peer responses add evidence, theoretical limits and well-judged qualifications.</w:t>
      </w:r>
    </w:p>
    <w:p>
      <w:pPr>
        <w:pStyle w:val="Heading2"/>
        <w:keepNext/>
      </w:pPr>
      <w:r>
        <w:t>Areas for improvement</w:t>
      </w:r>
    </w:p>
    <w:p>
      <w:pPr>
        <w:pStyle w:val="ListBullet"/>
      </w:pPr>
      <w:r>
        <w:t>Analyse research design and generalisability instead of mainly citing findings.</w:t>
      </w:r>
    </w:p>
    <w:p>
      <w:pPr>
        <w:pStyle w:val="ListBullet"/>
      </w:pPr>
      <w:r>
        <w:t>Use primary academic sources where possible for foundational theoretical claims.</w:t>
      </w:r>
    </w:p>
    <w:p>
      <w:pPr>
        <w:pStyle w:val="ListBullet"/>
      </w:pPr>
      <w:r>
        <w:t>Correct author names, publication dates and reference-list details consistently.</w:t>
      </w:r>
    </w:p>
    <w:p>
      <w:pPr>
        <w:pStyle w:val="Heading2"/>
        <w:keepNext/>
      </w:pPr>
      <w:r>
        <w:t>Criterion 1: Knowledge and Understanding — 68%</w:t>
      </w:r>
    </w:p>
    <w:p>
      <w:pPr>
        <w:keepLines/>
      </w:pPr>
      <w:r>
        <w:t>You show strong knowledge of the four Gricean maxims, psychographic targeting, Halpern's skills and the conditions supporting transfer. Your distinction between legitimate persuasion and manipulation is thoughtful, and your agency examples make the theory concrete. Well explained. Conceptual accuracy would improve if you consistently named Halpern correctly, distinguished flouting from violation and clarified that Grice describes cooperative interpretation rather than supplying a complete ethical test for advertising.</w:t>
      </w:r>
    </w:p>
    <w:p>
      <w:pPr>
        <w:pStyle w:val="Heading2"/>
        <w:keepNext/>
      </w:pPr>
      <w:r>
        <w:t>Criterion 2: Critical Analysis and Evaluation — 69%</w:t>
      </w:r>
    </w:p>
    <w:p>
      <w:pPr>
        <w:keepLines/>
      </w:pPr>
      <w:r>
        <w:t>Your evaluation considers selective disclosure, transparency, organisational incentives and the possibility that sophisticated reasoning can serve an unjustified goal. The peer responses are especially strong in challenging the fit of conversational theory to mass persuasion and in examining whether voters are enabled to reason for themselves. Excellent job. To make this First-class, analyse how the cited studies measured persuasion or critical-thinking transfer, consider competing explanations for their results and state more precisely when targeted relevance becomes manipulative rather than merely selective.</w:t>
      </w:r>
    </w:p>
    <w:p>
      <w:pPr>
        <w:pStyle w:val="Heading2"/>
        <w:keepNext/>
        <w:pageBreakBefore/>
      </w:pPr>
      <w:r>
        <w:t>Criterion 3: Communication — 68%</w:t>
      </w:r>
    </w:p>
    <w:p>
      <w:pPr>
        <w:keepLines/>
      </w:pPr>
      <w:r>
        <w:t>The submission is well structured, purposeful and easy to follow. Your thesis develops across the required areas, and the two peer responses respectfully identify weaknesses, add evidence and extend the shared discussion. Nice work. A few naming, citation and sentence-level errors reduce polish, and some of the most sophisticated limitations arrive only in the responses. Integrate those qualifications into the initial post, use concise topic sentences and proofread all proper names and dates before submission.</w:t>
      </w:r>
    </w:p>
    <w:p>
      <w:pPr>
        <w:pStyle w:val="Heading2"/>
        <w:keepNext/>
      </w:pPr>
      <w:r>
        <w:t>Criterion 4: Reading and Referencing — 64%</w:t>
      </w:r>
    </w:p>
    <w:p>
      <w:pPr>
        <w:keepLines/>
      </w:pPr>
      <w:r>
        <w:t>You draw on course literature and relevant empirical work on microtargeting and critical-thinking instruction. The breadth is good and sources are usually used to advance the argument. However, some foundational claims rely on a secondary educational resource, one commercial article is treated too readily as evidence, and there are inconsistencies in author spelling, dates and reference details. Prioritise original academic sources, explain what each study's method permits you to conclude and ensure complete correspondence between citations and the reference list.</w:t>
      </w:r>
    </w:p>
    <w:p>
      <w:pPr>
        <w:pStyle w:val="Heading1"/>
        <w:keepNext/>
      </w:pPr>
      <w:r>
        <w:t>Overall assessment — 65% (2:1)</w:t>
      </w:r>
    </w:p>
    <w:p>
      <w:pPr>
        <w:keepLines/>
      </w:pPr>
      <w:r>
        <w:t>The weighted calculation uses the reported whole-number criterion grades: 68% × 30% + 69% × 25% + 68% × 20% + 64% × 25% = 67.25%. This gives a reported stepped mark of 65%. No critical-component ceiling applies. This is a strong 2:1 submission with independent judgement and particularly effective peer critique. It remains below a First because source handling and methodological evaluation are not yet consistently precise enough.</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Claudia Capontes Oliver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