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Emily Forst</w:t>
      </w:r>
    </w:p>
    <w:p>
      <w:pPr>
        <w:keepNext/>
        <w:spacing w:after="40"/>
      </w:pPr>
      <w:r>
        <w:t>Overall grade: 70% (First)</w:t>
      </w:r>
    </w:p>
    <w:p>
      <w:pPr>
        <w:keepNext/>
        <w:spacing w:after="40"/>
      </w:pPr>
      <w:r>
        <w:t>Calculated weighted result: 72.00%; reported stepped mark: 70%</w:t>
      </w:r>
    </w:p>
    <w:p>
      <w:pPr>
        <w:keepNext/>
        <w:spacing w:after="40"/>
      </w:pPr>
      <w:r>
        <w:t>Coverage: all 16 subcriteria substantively covered; no grade ceiling applies</w:t>
      </w:r>
    </w:p>
    <w:p>
      <w:pPr>
        <w:pStyle w:val="Heading2"/>
        <w:keepNext/>
      </w:pPr>
      <w:r>
        <w:t>Strengths</w:t>
      </w:r>
    </w:p>
    <w:p>
      <w:pPr>
        <w:pStyle w:val="ListBullet"/>
      </w:pPr>
      <w:r>
        <w:t>You make unusually careful distinctions between violation, flouting and insufficient evidence.</w:t>
      </w:r>
    </w:p>
    <w:p>
      <w:pPr>
        <w:pStyle w:val="ListBullet"/>
      </w:pPr>
      <w:r>
        <w:t>You evaluate transfer, measurement and generalisability rather than merely reporting results.</w:t>
      </w:r>
    </w:p>
    <w:p>
      <w:pPr>
        <w:pStyle w:val="ListBullet"/>
      </w:pPr>
      <w:r>
        <w:t>Your peer responses develop sophisticated methodological and theoretical challenges.</w:t>
      </w:r>
    </w:p>
    <w:p>
      <w:pPr>
        <w:pStyle w:val="Heading2"/>
        <w:keepNext/>
      </w:pPr>
      <w:r>
        <w:t>Areas for improvement</w:t>
      </w:r>
    </w:p>
    <w:p>
      <w:pPr>
        <w:pStyle w:val="ListBullet"/>
      </w:pPr>
      <w:r>
        <w:t>State the central thesis even more concisely at the start of the initial post.</w:t>
      </w:r>
    </w:p>
    <w:p>
      <w:pPr>
        <w:pStyle w:val="ListBullet"/>
      </w:pPr>
      <w:r>
        <w:t>Make the boundary between selective targeting and Gricean failure fully explicit.</w:t>
      </w:r>
    </w:p>
    <w:p>
      <w:pPr>
        <w:pStyle w:val="ListBullet"/>
      </w:pPr>
      <w:r>
        <w:t>Apply the same source-quality scrutiny to every item in the reference list.</w:t>
      </w:r>
    </w:p>
    <w:p>
      <w:pPr>
        <w:pStyle w:val="Heading2"/>
        <w:keepNext/>
      </w:pPr>
      <w:r>
        <w:t>Criterion 1: Knowledge and Understanding — 71%</w:t>
      </w:r>
    </w:p>
    <w:p>
      <w:pPr>
        <w:keepLines/>
      </w:pPr>
      <w:r>
        <w:t>You demonstrate strong conceptual command of Grice, Halpern, psychographic targeting and the trainability and transfer of critical thinking. Your caution about claiming a Quality or Manner violation without adequate evidence is especially effective, as is your recognition that purposeful reasoning is not inherently responsible reasoning. Excellent job. You could strengthen the account further by defining the precise threshold at which selective audience targeting becomes a failure of Quantity and by keeping flouting, covert violation and wider ethical opacity analytically separate.</w:t>
      </w:r>
    </w:p>
    <w:p>
      <w:pPr>
        <w:pStyle w:val="Heading2"/>
        <w:keepNext/>
      </w:pPr>
      <w:r>
        <w:t>Criterion 2: Critical Analysis and Evaluation — 73%</w:t>
      </w:r>
    </w:p>
    <w:p>
      <w:pPr>
        <w:keepLines/>
      </w:pPr>
      <w:r>
        <w:t>Your evaluation is sustained and independent. You test claims about training against transfer and measurement problems, assess what outcome studies can establish, and use the peer discussion to question theory fit, causal inference and the difference between agency effectiveness and voter autonomy. The resulting judgement is balanced rather than formulaic. To develop it further, compare the relative explanatory value of Grice and persuasion-specific theories, and make explicit which evidence would falsify your preferred interpretation.</w:t>
      </w:r>
    </w:p>
    <w:p>
      <w:pPr>
        <w:pStyle w:val="Heading2"/>
        <w:keepNext/>
        <w:pageBreakBefore/>
      </w:pPr>
      <w:r>
        <w:t>Criterion 3: Communication — 71%</w:t>
      </w:r>
    </w:p>
    <w:p>
      <w:pPr>
        <w:keepLines/>
      </w:pPr>
      <w:r>
        <w:t>The submission has a clear thesis, strong paragraph progression and appropriately qualified academic expression. Both peer responses are substantive pieces of critique: they identify methodological weaknesses, introduce alternative evidence and invite further reasoning. Your informal engagement also responds thoughtfully to emerging distinctions. Very well done. Some passages could be shortened, and a more concise opening would make the central line of argument immediately visible without reducing nuance.</w:t>
      </w:r>
    </w:p>
    <w:p>
      <w:pPr>
        <w:pStyle w:val="Heading2"/>
        <w:keepNext/>
      </w:pPr>
      <w:r>
        <w:t>Criterion 4: Reading and Referencing — 73%</w:t>
      </w:r>
    </w:p>
    <w:p>
      <w:pPr>
        <w:keepLines/>
      </w:pPr>
      <w:r>
        <w:t>You use a broad and relevant body of course scholarship, primary studies and methodological reading. Sources are integrated into the reasoning, and you frequently distinguish prediction, correlation, intervention and transfer. This is First-class evidence handling. A small number of sources are less authoritative or less clearly matched to the claim than the strongest journal work, and minor APA details need checking. Apply your methodological scrutiny consistently to every source and prioritise original studies when an empirical claim is central.</w:t>
      </w:r>
    </w:p>
    <w:p>
      <w:pPr>
        <w:pStyle w:val="Heading1"/>
        <w:keepNext/>
      </w:pPr>
      <w:r>
        <w:t>Overall assessment — 70% (First)</w:t>
      </w:r>
    </w:p>
    <w:p>
      <w:pPr>
        <w:keepLines/>
      </w:pPr>
      <w:r>
        <w:t>The weighted calculation uses the reported whole-number criterion grades: 71% × 30% + 73% × 25% + 71% × 20% + 73% × 25% = 72.00%. This gives a reported stepped mark of 70%. No critical-component ceiling applies. This is a strong First-class submission. It combines conceptual precision, methodological evaluation, a coherent judgement and excellent peer engagement. Greater concision and completely consistent scrutiny of source quality would strengthen it further.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Emily Forst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