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Critical Thinking Learning Question Feedback</w:t>
      </w:r>
    </w:p>
    <w:p>
      <w:pPr>
        <w:pStyle w:val="Subtitle"/>
        <w:keepNext/>
      </w:pPr>
      <w:r>
        <w:t>Consolidated criteria feedback</w:t>
      </w:r>
    </w:p>
    <w:p>
      <w:pPr>
        <w:keepNext/>
        <w:spacing w:after="40"/>
      </w:pPr>
      <w:r>
        <w:t>Student: Gemma Dodds</w:t>
      </w:r>
    </w:p>
    <w:p>
      <w:pPr>
        <w:keepNext/>
        <w:spacing w:after="40"/>
      </w:pPr>
      <w:r>
        <w:t>Overall grade: 65% (2:1)</w:t>
      </w:r>
    </w:p>
    <w:p>
      <w:pPr>
        <w:keepNext/>
        <w:spacing w:after="40"/>
      </w:pPr>
      <w:r>
        <w:t>Calculated weighted result: 67.65%; reported stepped mark: 65%</w:t>
      </w:r>
    </w:p>
    <w:p>
      <w:pPr>
        <w:keepNext/>
        <w:spacing w:after="40"/>
      </w:pPr>
      <w:r>
        <w:t>Coverage: all 16 subcriteria substantively covered; no grade ceiling applies</w:t>
      </w:r>
    </w:p>
    <w:p>
      <w:pPr>
        <w:pStyle w:val="Heading2"/>
        <w:keepNext/>
      </w:pPr>
      <w:r>
        <w:t>Strengths</w:t>
      </w:r>
    </w:p>
    <w:p>
      <w:pPr>
        <w:pStyle w:val="ListBullet"/>
      </w:pPr>
      <w:r>
        <w:t>You take a balanced position rather than assuming targeting is inherently deceptive.</w:t>
      </w:r>
    </w:p>
    <w:p>
      <w:pPr>
        <w:pStyle w:val="ListBullet"/>
      </w:pPr>
      <w:r>
        <w:t>You recognise the limits of applying conversational maxims to mass advertising.</w:t>
      </w:r>
    </w:p>
    <w:p>
      <w:pPr>
        <w:pStyle w:val="ListBullet"/>
      </w:pPr>
      <w:r>
        <w:t>Your peer responses introduce strong contemporary research and alternative perspectives.</w:t>
      </w:r>
    </w:p>
    <w:p>
      <w:pPr>
        <w:pStyle w:val="Heading2"/>
        <w:keepNext/>
      </w:pPr>
      <w:r>
        <w:t>Areas for improvement</w:t>
      </w:r>
    </w:p>
    <w:p>
      <w:pPr>
        <w:pStyle w:val="ListBullet"/>
      </w:pPr>
      <w:r>
        <w:t>Bring the theoretical limitations developed in your responses into the initial post.</w:t>
      </w:r>
    </w:p>
    <w:p>
      <w:pPr>
        <w:pStyle w:val="ListBullet"/>
      </w:pPr>
      <w:r>
        <w:t>Evaluate study methods and effect conditions instead of mainly summarising findings.</w:t>
      </w:r>
    </w:p>
    <w:p>
      <w:pPr>
        <w:pStyle w:val="ListBullet"/>
      </w:pPr>
      <w:r>
        <w:t>Resolve publication-date and APA inconsistencies across citations and references.</w:t>
      </w:r>
    </w:p>
    <w:p>
      <w:pPr>
        <w:pStyle w:val="Heading2"/>
        <w:keepNext/>
      </w:pPr>
      <w:r>
        <w:t>Criterion 1: Knowledge and Understanding — 66%</w:t>
      </w:r>
    </w:p>
    <w:p>
      <w:pPr>
        <w:keepLines/>
      </w:pPr>
      <w:r>
        <w:t>You explain the four maxims, Halpern's framework and psychographic targeting accurately, and you understand that personalisation can support relevance without necessarily supporting transparency or informational sufficiency. Your discussion of learnable skills and organisational practice is realistic. Well explained. The strongest conceptual distinction, between interpersonal cooperation and platform-mediated persuasion, emerges mainly in your responses. Introduce it earlier and distinguish clearly among targeting, selective framing, maxim flouting and ethical manipulation.</w:t>
      </w:r>
    </w:p>
    <w:p>
      <w:pPr>
        <w:pStyle w:val="Heading2"/>
        <w:keepNext/>
      </w:pPr>
      <w:r>
        <w:t>Criterion 2: Critical Analysis and Evaluation — 68%</w:t>
      </w:r>
    </w:p>
    <w:p>
      <w:pPr>
        <w:keepLines/>
      </w:pPr>
      <w:r>
        <w:t>You evaluate several possible effects of targeting and avoid a simple pro-or-anti conclusion. The peer responses deepen this analysis through regulation, cultural context, algorithmic mediation and limits to Grice's framework, supported by relevant research. Nice work. To reach a First, examine how the cited studies operationalise personality matching and persuasion, consider the size and boundary conditions of reported effects, and use those methodological details to decide how much confidence your conclusion deserves.</w:t>
      </w:r>
    </w:p>
    <w:p>
      <w:pPr>
        <w:pStyle w:val="Heading2"/>
        <w:keepNext/>
        <w:pageBreakBefore/>
      </w:pPr>
      <w:r>
        <w:t>Criterion 3: Communication — 68%</w:t>
      </w:r>
    </w:p>
    <w:p>
      <w:pPr>
        <w:keepLines/>
      </w:pPr>
      <w:r>
        <w:t>Your argument is coherent, appropriately qualified and divided logically across the task. Both peer responses are genuinely critical and collaborative, adding evidence and perspectives rather than repeating agreement. Expression is generally clear, although some long sentences carry several conceptual distinctions at once. Use shorter topic-led paragraphs and make explicit how your final judgement changed or was strengthened through the discussion.</w:t>
      </w:r>
    </w:p>
    <w:p>
      <w:pPr>
        <w:pStyle w:val="Heading2"/>
        <w:keepNext/>
      </w:pPr>
      <w:r>
        <w:t>Criterion 4: Reading and Referencing — 69%</w:t>
      </w:r>
    </w:p>
    <w:p>
      <w:pPr>
        <w:keepLines/>
      </w:pPr>
      <w:r>
        <w:t>You use strong course sources and a good range of wider academic research on microtargeting, data protection and persuasion. Sources usually support specific claims and show intellectual independence. Research is nevertheless more often summarised than methodologically evaluated, and minor inconsistencies appear in dates and APA presentation. Explain what the strongest studies can and cannot generalise to political behaviour, and check all citation-reference matches before submission.</w:t>
      </w:r>
    </w:p>
    <w:p>
      <w:pPr>
        <w:pStyle w:val="Heading1"/>
        <w:keepNext/>
      </w:pPr>
      <w:r>
        <w:t>Overall assessment — 65% (2:1)</w:t>
      </w:r>
    </w:p>
    <w:p>
      <w:pPr>
        <w:keepLines/>
      </w:pPr>
      <w:r>
        <w:t>The weighted calculation uses the reported whole-number criterion grades: 66% × 30% + 68% × 25% + 68% × 20% + 69% × 25% = 67.65%. This gives a reported stepped mark of 65%. No critical-component ceiling applies. This is a strong 2:1 submission with balanced reasoning, wide reading and very good peer engagement. It falls narrowly below a First because methodological evaluation and theoretical qualification are not sustained consistently from the initial post onwards.</w:t>
      </w:r>
    </w:p>
    <w:sectPr w:rsidR="00FC693F" w:rsidRPr="0006063C" w:rsidSect="00034616">
      <w:footerReference w:type="default" r:id="rId9"/>
      <w:pgSz w:w="12240" w:h="15840"/>
      <w:pgMar w:top="1008" w:right="1296" w:bottom="864" w:left="1296" w:header="720"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1F1F1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Theme="majorHAnsi" w:eastAsiaTheme="majorEastAsia" w:hAnsiTheme="majorHAnsi" w:cstheme="majorBidi" w:ascii="Calibri" w:hAnsi="Calibr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Calibri" w:hAnsi="Calibri"/>
      <w:b/>
      <w:color w:val="2E74B5"/>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Calibri" w:hAnsi="Calibri"/>
      <w:i w:val="0"/>
      <w:iCs/>
      <w:color w:val="595959"/>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360" w:hanging="216"/>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Gemma Dodds – Critical Thinking Feedback</dc:title>
  <dc:subject>Consolidated criteria feedback</dc:subject>
  <dc:creator>University of Edinburgh</dc:creator>
  <cp:keywords/>
  <dc:description>generated by python-docx</dc:description>
  <cp:lastModifiedBy/>
  <cp:revision>1</cp:revision>
  <dcterms:created xsi:type="dcterms:W3CDTF">2013-12-23T23:15:00Z</dcterms:created>
  <dcterms:modified xsi:type="dcterms:W3CDTF">2013-12-23T23:15:00Z</dcterms:modified>
  <cp:category/>
</cp:coreProperties>
</file>