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Lucy Connolly</w:t>
      </w:r>
    </w:p>
    <w:p>
      <w:pPr>
        <w:keepNext/>
        <w:spacing w:after="40"/>
      </w:pPr>
      <w:r>
        <w:t>Overall grade: 60% (2:1)</w:t>
      </w:r>
    </w:p>
    <w:p>
      <w:pPr>
        <w:keepNext/>
        <w:spacing w:after="40"/>
      </w:pPr>
      <w:r>
        <w:t>Calculated weighted result: 63.35%; reported stepped mark: 60%</w:t>
      </w:r>
    </w:p>
    <w:p>
      <w:pPr>
        <w:keepNext/>
        <w:spacing w:after="40"/>
      </w:pPr>
      <w:r>
        <w:t>Coverage: all 16 subcriteria substantively covered; no grade ceiling applies</w:t>
      </w:r>
    </w:p>
    <w:p>
      <w:pPr>
        <w:pStyle w:val="Heading2"/>
        <w:keepNext/>
      </w:pPr>
      <w:r>
        <w:t>Strengths</w:t>
      </w:r>
    </w:p>
    <w:p>
      <w:pPr>
        <w:pStyle w:val="ListBullet"/>
      </w:pPr>
      <w:r>
        <w:t>You recognise that targeting can support relevance as well as create communicative risks.</w:t>
      </w:r>
    </w:p>
    <w:p>
      <w:pPr>
        <w:pStyle w:val="ListBullet"/>
      </w:pPr>
      <w:r>
        <w:t>You connect metacognition and campaign review to realistic agency decision-making.</w:t>
      </w:r>
    </w:p>
    <w:p>
      <w:pPr>
        <w:pStyle w:val="ListBullet"/>
      </w:pPr>
      <w:r>
        <w:t>Your peer responses introduce critique, current research and useful qualifications.</w:t>
      </w:r>
    </w:p>
    <w:p>
      <w:pPr>
        <w:pStyle w:val="Heading2"/>
        <w:keepNext/>
      </w:pPr>
      <w:r>
        <w:t>Areas for improvement</w:t>
      </w:r>
    </w:p>
    <w:p>
      <w:pPr>
        <w:pStyle w:val="ListBullet"/>
      </w:pPr>
      <w:r>
        <w:t>Report authorship, study size and findings accurately and avoid unsupported numerical claims.</w:t>
      </w:r>
    </w:p>
    <w:p>
      <w:pPr>
        <w:pStyle w:val="ListBullet"/>
      </w:pPr>
      <w:r>
        <w:t>Separate unclear wording from opacity about how and why a voter was targeted.</w:t>
      </w:r>
    </w:p>
    <w:p>
      <w:pPr>
        <w:pStyle w:val="ListBullet"/>
      </w:pPr>
      <w:r>
        <w:t>Use consistently academic sources and remove unreliable or malformed reference details.</w:t>
      </w:r>
    </w:p>
    <w:p>
      <w:pPr>
        <w:pStyle w:val="Heading2"/>
        <w:keepNext/>
      </w:pPr>
      <w:r>
        <w:t>Criterion 1: Knowledge and Understanding — 63%</w:t>
      </w:r>
    </w:p>
    <w:p>
      <w:pPr>
        <w:keepLines/>
      </w:pPr>
      <w:r>
        <w:t>You show a sound understanding of the required concepts and make a useful distinction between psychographic targeting itself and the way information is selected or framed. Your examples of metacognitive monitoring and post-campaign review are relevant. Nice work. Accuracy is uneven in places: Grice should be cited as the author of the theory, the reported scale of Abrami's review needs correction, and Manner concerns clarity and order rather than automatically covering hidden targeting processes. More careful definition and source checking would strengthen your knowledge base.</w:t>
      </w:r>
    </w:p>
    <w:p>
      <w:pPr>
        <w:pStyle w:val="Heading2"/>
        <w:keepNext/>
      </w:pPr>
      <w:r>
        <w:t>Criterion 2: Critical Analysis and Evaluation — 64%</w:t>
      </w:r>
    </w:p>
    <w:p>
      <w:pPr>
        <w:keepLines/>
      </w:pPr>
      <w:r>
        <w:t>You consider both cooperative and uncooperative possibilities, including relevance, omissions, framing and bias. The peer responses add more sophisticated discussion of flouting, transparency and the limits of empirical claims. However, several initial assertions, such as agencies probably withholding important information, are stronger than the evidence supplied. Define what would count as a material omission, test your view against truthful transparent targeting, and distinguish evidence of persuasive effect from evidence of manipulation or behavioural control.</w:t>
      </w:r>
    </w:p>
    <w:p>
      <w:pPr>
        <w:pStyle w:val="Heading2"/>
        <w:keepNext/>
        <w:pageBreakBefore/>
      </w:pPr>
      <w:r>
        <w:t>Criterion 3: Communication — 66%</w:t>
      </w:r>
    </w:p>
    <w:p>
      <w:pPr>
        <w:keepLines/>
      </w:pPr>
      <w:r>
        <w:t>The submission is easy to follow and covers all required components. Your two peer responses engage critically, introduce evidence and ask constructive questions, and the informal discussion shows responsiveness. Well done. Some inaccurate attributions and overconfident phrases weaken academic authority. Use a concise opening thesis, qualify probabilistic claims and proofread the final version specifically for names, numbers and transitions between evidence and conclusion.</w:t>
      </w:r>
    </w:p>
    <w:p>
      <w:pPr>
        <w:pStyle w:val="Heading2"/>
        <w:keepNext/>
      </w:pPr>
      <w:r>
        <w:t>Criterion 4: Reading and Referencing — 61%</w:t>
      </w:r>
    </w:p>
    <w:p>
      <w:pPr>
        <w:keepLines/>
      </w:pPr>
      <w:r>
        <w:t>You include course scholarship and relevant research on training and microtargeting, but source quality and reference accuracy are inconsistent. One web citation visibly contains a ChatGPT tracking parameter, DOI information is duplicated or malformed in places, and some empirical claims do not match the cited source precisely. Prioritise peer-reviewed primary research, verify every bibliographic detail at the source, and explain each study's method and limits before using it to support a broader political claim.</w:t>
      </w:r>
    </w:p>
    <w:p>
      <w:pPr>
        <w:pStyle w:val="Heading1"/>
        <w:keepNext/>
      </w:pPr>
      <w:r>
        <w:t>Overall assessment — 60% (2:1)</w:t>
      </w:r>
    </w:p>
    <w:p>
      <w:pPr>
        <w:keepLines/>
      </w:pPr>
      <w:r>
        <w:t>The weighted calculation uses the reported whole-number criterion grades: 63% × 30% + 64% × 25% + 66% × 20% + 61% × 25% = 63.35%. This gives a reported stepped mark of 60%. No critical-component ceiling applies. This is a good submission with balanced ideas and useful peer engagement. It remains at 60 because factual and referencing inaccuracies, together with limited methodological evaluation, reduce the reliability of an otherwise promising argument.</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Lucy Connolly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