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Critical Thinking Learning Question Feedback</w:t>
      </w:r>
    </w:p>
    <w:p>
      <w:pPr>
        <w:pStyle w:val="Subtitle"/>
        <w:keepNext/>
      </w:pPr>
      <w:r>
        <w:t>Consolidated criteria feedback</w:t>
      </w:r>
    </w:p>
    <w:p>
      <w:pPr>
        <w:keepNext/>
        <w:spacing w:after="40"/>
      </w:pPr>
      <w:r>
        <w:t>Student: Neeru Achall</w:t>
      </w:r>
    </w:p>
    <w:p>
      <w:pPr>
        <w:keepNext/>
        <w:spacing w:after="40"/>
      </w:pPr>
      <w:r>
        <w:t>Overall grade: 65% (2:1)</w:t>
      </w:r>
    </w:p>
    <w:p>
      <w:pPr>
        <w:keepNext/>
        <w:spacing w:after="40"/>
      </w:pPr>
      <w:r>
        <w:t>Calculated weighted result: 66.40%; reported stepped mark: 65%</w:t>
      </w:r>
    </w:p>
    <w:p>
      <w:pPr>
        <w:keepNext/>
        <w:spacing w:after="40"/>
      </w:pPr>
      <w:r>
        <w:t>Coverage: all 16 subcriteria substantively covered; no grade ceiling applies</w:t>
      </w:r>
    </w:p>
    <w:p>
      <w:pPr>
        <w:pStyle w:val="Heading2"/>
        <w:keepNext/>
      </w:pPr>
      <w:r>
        <w:t>Strengths</w:t>
      </w:r>
    </w:p>
    <w:p>
      <w:pPr>
        <w:pStyle w:val="ListBullet"/>
      </w:pPr>
      <w:r>
        <w:t>You take a careful position that targeting creates risks rather than automatic violations.</w:t>
      </w:r>
    </w:p>
    <w:p>
      <w:pPr>
        <w:pStyle w:val="ListBullet"/>
      </w:pPr>
      <w:r>
        <w:t>You use effect-size and transfer evidence to support the training discussion.</w:t>
      </w:r>
    </w:p>
    <w:p>
      <w:pPr>
        <w:pStyle w:val="ListBullet"/>
      </w:pPr>
      <w:r>
        <w:t>Your peer responses question theory fit, transparency and ethical responsibility.</w:t>
      </w:r>
    </w:p>
    <w:p>
      <w:pPr>
        <w:pStyle w:val="Heading2"/>
        <w:keepNext/>
      </w:pPr>
      <w:r>
        <w:t>Areas for improvement</w:t>
      </w:r>
    </w:p>
    <w:p>
      <w:pPr>
        <w:pStyle w:val="ListBullet"/>
      </w:pPr>
      <w:r>
        <w:t>Edit grammar and word choice so that complex distinctions remain precise.</w:t>
      </w:r>
    </w:p>
    <w:p>
      <w:pPr>
        <w:pStyle w:val="ListBullet"/>
      </w:pPr>
      <w:r>
        <w:t>Analyse research methods, contexts and effect sizes in greater depth.</w:t>
      </w:r>
    </w:p>
    <w:p>
      <w:pPr>
        <w:pStyle w:val="ListBullet"/>
      </w:pPr>
      <w:r>
        <w:t>Clarify the boundary between Manner, targeting opacity and wider ethical concerns.</w:t>
      </w:r>
    </w:p>
    <w:p>
      <w:pPr>
        <w:pStyle w:val="Heading2"/>
        <w:keepNext/>
      </w:pPr>
      <w:r>
        <w:t>Criterion 1: Knowledge and Understanding — 66%</w:t>
      </w:r>
    </w:p>
    <w:p>
      <w:pPr>
        <w:keepLines/>
      </w:pPr>
      <w:r>
        <w:t>You demonstrate strong knowledge of Grice's maxims, Halpern's critical-thinking framework, psychographic targeting and the evidence that skills can improve through explicit instruction. Your cautious claim that targeting creates opportunities for violation is more defensible than treating it as inherently deceptive. Well explained. Some imprecise wording blurs otherwise useful distinctions, including inferred versus self-reported traits, Manner versus data transparency and local relevance versus global disclosure. Define these terms carefully and specify how an agency would measure transfer.</w:t>
      </w:r>
    </w:p>
    <w:p>
      <w:pPr>
        <w:pStyle w:val="Heading2"/>
        <w:keepNext/>
      </w:pPr>
      <w:r>
        <w:t>Criterion 2: Critical Analysis and Evaluation — 68%</w:t>
      </w:r>
    </w:p>
    <w:p>
      <w:pPr>
        <w:keepLines/>
      </w:pPr>
      <w:r>
        <w:t>You evaluate individual maxims, competing interpretations and the possibility that analytical rigour can serve selective persuasion. Your peer responses usefully question the conversational origins of Grice's theory and whether satisfying maxims is enough for ethical communication. Nice work. Deeper evaluation of the studies' samples, measures and effect sizes is needed. Explain what the meta-analyses can establish about professional practice and use a concrete counterexample to test when selective communication becomes materially misleading.</w:t>
      </w:r>
    </w:p>
    <w:p>
      <w:pPr>
        <w:pStyle w:val="Heading2"/>
        <w:keepNext/>
        <w:pageBreakBefore/>
      </w:pPr>
      <w:r>
        <w:t>Criterion 3: Communication — 63%</w:t>
      </w:r>
    </w:p>
    <w:p>
      <w:pPr>
        <w:keepLines/>
      </w:pPr>
      <w:r>
        <w:t>The submission follows the task coherently and reaches a qualified overall judgement. Both peer responses critically engage with peers and extend the discussion, rather than simply offering agreement. Frequent awkward constructions, incorrect word choices and sentence-level errors sometimes make your intended meaning difficult to recover. A careful proofread focused on articles, verb agreement, punctuation and academic vocabulary would substantially improve clarity and authority.</w:t>
      </w:r>
    </w:p>
    <w:p>
      <w:pPr>
        <w:pStyle w:val="Heading2"/>
        <w:keepNext/>
      </w:pPr>
      <w:r>
        <w:t>Criterion 4: Reading and Referencing — 68%</w:t>
      </w:r>
    </w:p>
    <w:p>
      <w:pPr>
        <w:keepLines/>
      </w:pPr>
      <w:r>
        <w:t>You use Grice and Halpern appropriately and include relevant journal research, including meta-analytic evidence and wider work on political persuasion. Sources are generally integrated and the breadth supports independent reasoning. The evidence is more often summarised than interrogated, and a few citation or reference details require standardisation. Discuss design, population, outcome and limitations for the most important studies, and check complete APA correspondence before submission.</w:t>
      </w:r>
    </w:p>
    <w:p>
      <w:pPr>
        <w:pStyle w:val="Heading1"/>
        <w:keepNext/>
      </w:pPr>
      <w:r>
        <w:t>Overall assessment — 65% (2:1)</w:t>
      </w:r>
    </w:p>
    <w:p>
      <w:pPr>
        <w:keepLines/>
      </w:pPr>
      <w:r>
        <w:t>The weighted calculation uses the reported whole-number criterion grades: 66% × 30% + 68% × 25% + 63% × 20% + 68% × 25% = 66.40%. This gives a reported stepped mark of 65%. No critical-component ceiling applies. This is a strong 2:1 submission with balanced reasoning, good research coverage and substantive peer engagement. Greater linguistic precision and more sustained methodological evaluation would improve it further.</w:t>
      </w:r>
    </w:p>
    <w:sectPr w:rsidR="00FC693F" w:rsidRPr="0006063C" w:rsidSect="00034616">
      <w:footerReference w:type="default" r:id="rId9"/>
      <w:pgSz w:w="12240" w:h="15840"/>
      <w:pgMar w:top="1008" w:right="1296" w:bottom="864" w:left="1296"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Calibri" w:hAnsi="Calibr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Calibri" w:hAnsi="Calibri"/>
      <w:b/>
      <w:color w:val="2E74B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val="0"/>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Neeru Achall – Critical Thinking Feedback</dc:title>
  <dc:subject>Consolidated criteria feedback</dc:subject>
  <dc:creator>University of Edinburgh</dc:creator>
  <cp:keywords/>
  <dc:description>generated by python-docx</dc:description>
  <cp:lastModifiedBy/>
  <cp:revision>1</cp:revision>
  <dcterms:created xsi:type="dcterms:W3CDTF">2013-12-23T23:15:00Z</dcterms:created>
  <dcterms:modified xsi:type="dcterms:W3CDTF">2013-12-23T23:15:00Z</dcterms:modified>
  <cp:category/>
</cp:coreProperties>
</file>