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Rosheen Afsar</w:t>
      </w:r>
    </w:p>
    <w:p>
      <w:pPr>
        <w:keepNext/>
        <w:spacing w:after="40"/>
      </w:pPr>
      <w:r>
        <w:t>Overall grade: 65% (2:1)</w:t>
      </w:r>
    </w:p>
    <w:p>
      <w:pPr>
        <w:keepNext/>
        <w:spacing w:after="40"/>
      </w:pPr>
      <w:r>
        <w:t>Calculated weighted result: 69.40%; reported stepped mark: 65%</w:t>
      </w:r>
    </w:p>
    <w:p>
      <w:pPr>
        <w:keepNext/>
        <w:spacing w:after="40"/>
      </w:pPr>
      <w:r>
        <w:t>Coverage: all 16 subcriteria substantively covered; no grade ceiling applies</w:t>
      </w:r>
    </w:p>
    <w:p>
      <w:pPr>
        <w:pStyle w:val="Heading2"/>
        <w:keepNext/>
      </w:pPr>
      <w:r>
        <w:t>Strengths</w:t>
      </w:r>
    </w:p>
    <w:p>
      <w:pPr>
        <w:pStyle w:val="ListBullet"/>
      </w:pPr>
      <w:r>
        <w:t>You distinguish persuasive relevance from genuinely cooperative communication clearly.</w:t>
      </w:r>
    </w:p>
    <w:p>
      <w:pPr>
        <w:pStyle w:val="ListBullet"/>
      </w:pPr>
      <w:r>
        <w:t>You use transfer and processing-fluency research to develop independent analysis.</w:t>
      </w:r>
    </w:p>
    <w:p>
      <w:pPr>
        <w:pStyle w:val="ListBullet"/>
      </w:pPr>
      <w:r>
        <w:t>Your peer responses introduce strong counterarguments, evidence and productive questions.</w:t>
      </w:r>
    </w:p>
    <w:p>
      <w:pPr>
        <w:pStyle w:val="Heading2"/>
        <w:keepNext/>
      </w:pPr>
      <w:r>
        <w:t>Areas for improvement</w:t>
      </w:r>
    </w:p>
    <w:p>
      <w:pPr>
        <w:pStyle w:val="ListBullet"/>
      </w:pPr>
      <w:r>
        <w:t>Evaluate study designs and effect boundaries more consistently in the initial post.</w:t>
      </w:r>
    </w:p>
    <w:p>
      <w:pPr>
        <w:pStyle w:val="ListBullet"/>
      </w:pPr>
      <w:r>
        <w:t>Keep clarity, targeting opacity and ethical transparency conceptually separate.</w:t>
      </w:r>
    </w:p>
    <w:p>
      <w:pPr>
        <w:pStyle w:val="ListBullet"/>
      </w:pPr>
      <w:r>
        <w:t>State more explicitly how the peer discussion refined your final judgement.</w:t>
      </w:r>
    </w:p>
    <w:p>
      <w:pPr>
        <w:pStyle w:val="Heading2"/>
        <w:keepNext/>
      </w:pPr>
      <w:r>
        <w:t>Criterion 1: Knowledge and Understanding — 68%</w:t>
      </w:r>
    </w:p>
    <w:p>
      <w:pPr>
        <w:keepLines/>
      </w:pPr>
      <w:r>
        <w:t>You demonstrate strong knowledge of Grice, Halpern, psychographic targeting and the requirements for learning and transferring critical-thinking skills. The distinction between a message feeling relevant and communication supporting mutual understanding is especially effective. Excellent job. Your account would be even more precise if you separated clear wording under Manner from transparency about data use, and if you explained how agencies could test transfer across electorates, platforms and campaign types.</w:t>
      </w:r>
    </w:p>
    <w:p>
      <w:pPr>
        <w:pStyle w:val="Heading2"/>
        <w:keepNext/>
      </w:pPr>
      <w:r>
        <w:t>Criterion 2: Critical Analysis and Evaluation — 70%</w:t>
      </w:r>
    </w:p>
    <w:p>
      <w:pPr>
        <w:keepLines/>
      </w:pPr>
      <w:r>
        <w:t>You evaluate omissions, unsupported claims, bias, theory fit and the goal-dependent use of reasoning. The peer responses deepen this work through far-transfer evidence and processing-fluency research, showing how a clear truthful message might still influence judgement strategically. This is strong independent analysis. To sustain First-class quality, assess the studies' designs and boundary conditions more directly, and state the evidential threshold for deciding that a targeted message is uncooperative rather than simply persuasive.</w:t>
      </w:r>
    </w:p>
    <w:p>
      <w:pPr>
        <w:pStyle w:val="Heading2"/>
        <w:keepNext/>
        <w:pageBreakBefore/>
      </w:pPr>
      <w:r>
        <w:t>Criterion 3: Communication — 70%</w:t>
      </w:r>
    </w:p>
    <w:p>
      <w:pPr>
        <w:keepLines/>
      </w:pPr>
      <w:r>
        <w:t>Your initial post is coherent, balanced and concludes with a qualified thesis. Both peer responses are substantial critical contributions: they extend rather than repeat the original reasoning, use evidence and pose questions that invite dialogue. Very well done. Make the development across the whole activity more explicit by identifying where a peer distinction, such as flouting or persuasion knowledge, changed or sharpened your own final position.</w:t>
      </w:r>
    </w:p>
    <w:p>
      <w:pPr>
        <w:pStyle w:val="Heading2"/>
        <w:keepNext/>
      </w:pPr>
      <w:r>
        <w:t>Criterion 4: Reading and Referencing — 70%</w:t>
      </w:r>
    </w:p>
    <w:p>
      <w:pPr>
        <w:keepLines/>
      </w:pPr>
      <w:r>
        <w:t>You use the key course sources together with strong wider research on far transfer, processing fluency and illusory truth. Sources are relevant, credible and integrated into specific argumentative moves. Research quality is high, although the initial post itself relies on a narrower set and usually reports rather than examines methods. Compare the designs and applicability of the most important studies, and check minor reference-format details for complete consistency.</w:t>
      </w:r>
    </w:p>
    <w:p>
      <w:pPr>
        <w:pStyle w:val="Heading1"/>
        <w:keepNext/>
      </w:pPr>
      <w:r>
        <w:t>Overall assessment — 65% (2:1)</w:t>
      </w:r>
    </w:p>
    <w:p>
      <w:pPr>
        <w:keepLines/>
      </w:pPr>
      <w:r>
        <w:t>The weighted calculation uses the reported whole-number criterion grades: 68% × 30% + 70% × 25% + 70% × 20% + 70% × 25% = 69.40%. This gives a reported stepped mark of 65%. No critical-component ceiling applies. This is a very strong 2:1 submission, close to First-class quality, with excellent peer engagement and independent wider reading. It remains below 70 because methodological evaluation is not equally sustained throughout the initial post and responses.</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Rosheen Afsar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