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Critical Thinking Learning Question Feedback</w:t>
      </w:r>
    </w:p>
    <w:p>
      <w:pPr>
        <w:pStyle w:val="Subtitle"/>
        <w:keepNext/>
      </w:pPr>
      <w:r>
        <w:t>Consolidated criteria feedback</w:t>
      </w:r>
    </w:p>
    <w:p>
      <w:pPr>
        <w:keepNext/>
        <w:spacing w:after="40"/>
      </w:pPr>
      <w:r>
        <w:t>Student: Sharon Paxman</w:t>
      </w:r>
    </w:p>
    <w:p>
      <w:pPr>
        <w:keepNext/>
        <w:spacing w:after="40"/>
      </w:pPr>
      <w:r>
        <w:t>Overall grade: 70% (First)</w:t>
      </w:r>
    </w:p>
    <w:p>
      <w:pPr>
        <w:keepNext/>
        <w:spacing w:after="40"/>
      </w:pPr>
      <w:r>
        <w:t>Calculated weighted result: 70.75%; reported stepped mark: 70%</w:t>
      </w:r>
    </w:p>
    <w:p>
      <w:pPr>
        <w:keepNext/>
        <w:spacing w:after="40"/>
      </w:pPr>
      <w:r>
        <w:t>Coverage: all 16 subcriteria substantively covered; no grade ceiling applies</w:t>
      </w:r>
    </w:p>
    <w:p>
      <w:pPr>
        <w:pStyle w:val="Heading2"/>
        <w:keepNext/>
      </w:pPr>
      <w:r>
        <w:t>Strengths</w:t>
      </w:r>
    </w:p>
    <w:p>
      <w:pPr>
        <w:pStyle w:val="ListBullet"/>
      </w:pPr>
      <w:r>
        <w:t>You sustain a precise distinction between effective reasoning and cooperative communication.</w:t>
      </w:r>
    </w:p>
    <w:p>
      <w:pPr>
        <w:pStyle w:val="ListBullet"/>
      </w:pPr>
      <w:r>
        <w:t>You evaluate effect size, transfer and motivated reasoning rather than citing them superficially.</w:t>
      </w:r>
    </w:p>
    <w:p>
      <w:pPr>
        <w:pStyle w:val="ListBullet"/>
      </w:pPr>
      <w:r>
        <w:t>Your peer responses provide focused, evidence-based challenges to others' claims.</w:t>
      </w:r>
    </w:p>
    <w:p>
      <w:pPr>
        <w:pStyle w:val="Heading2"/>
        <w:keepNext/>
      </w:pPr>
      <w:r>
        <w:t>Areas for improvement</w:t>
      </w:r>
    </w:p>
    <w:p>
      <w:pPr>
        <w:pStyle w:val="ListBullet"/>
      </w:pPr>
      <w:r>
        <w:t>Differentiate maxim flouting from covert violation and ethical opacity explicitly.</w:t>
      </w:r>
    </w:p>
    <w:p>
      <w:pPr>
        <w:pStyle w:val="ListBullet"/>
      </w:pPr>
      <w:r>
        <w:t>Develop the limitations of the contemporary microtargeting studies in more detail.</w:t>
      </w:r>
    </w:p>
    <w:p>
      <w:pPr>
        <w:pStyle w:val="ListBullet"/>
      </w:pPr>
      <w:r>
        <w:t>Show more directly how peer discussion altered or confirmed your own conclusion.</w:t>
      </w:r>
    </w:p>
    <w:p>
      <w:pPr>
        <w:pStyle w:val="Heading2"/>
        <w:keepNext/>
      </w:pPr>
      <w:r>
        <w:t>Criterion 1: Knowledge and Understanding — 70%</w:t>
      </w:r>
    </w:p>
    <w:p>
      <w:pPr>
        <w:keepLines/>
      </w:pPr>
      <w:r>
        <w:t>You demonstrate strong conceptual command of Grice's maxims, Halpern's framework, microtargeting and the conditions under which critical-thinking skills may transfer. Your distinction between sophisticated agency reasoning and communication that enables voter autonomy is particularly effective. Excellent job. The account could be sharpened further by distinguishing flouting from covert violation and by treating opacity about why someone was targeted as a wider transparency issue rather than automatically a failure of clear expression.</w:t>
      </w:r>
    </w:p>
    <w:p>
      <w:pPr>
        <w:pStyle w:val="Heading2"/>
        <w:keepNext/>
      </w:pPr>
      <w:r>
        <w:t>Criterion 2: Critical Analysis and Evaluation — 73%</w:t>
      </w:r>
    </w:p>
    <w:p>
      <w:pPr>
        <w:keepLines/>
      </w:pPr>
      <w:r>
        <w:t>Your argument evaluates selective framing, omissions, motivated reasoning, training heterogeneity and the goal-dependent use of critical thinking. You use contemporary persuasion research to support a qualified rather than deterministic conclusion, and the peer responses carefully challenge ethical assumptions and causal claims. This is sustained First-class analysis. Develop the methodological limits of the microtargeting studies further, including samples, personality measurement and context, and explain what evidence would overturn your judgement.</w:t>
      </w:r>
    </w:p>
    <w:p>
      <w:pPr>
        <w:pStyle w:val="Heading2"/>
        <w:keepNext/>
        <w:pageBreakBefore/>
      </w:pPr>
      <w:r>
        <w:t>Criterion 3: Communication — 70%</w:t>
      </w:r>
    </w:p>
    <w:p>
      <w:pPr>
        <w:keepLines/>
      </w:pPr>
      <w:r>
        <w:t>The initial post has a clear thesis, logical progression and an economical conclusion. Both required peer responses are substantial critiques that identify strengths, qualify claims, add research and end with productive questions. Very well done. The collaborative development would be even clearer if you briefly stated how those exchanges changed, strengthened or complicated your own final position, rather than leaving that development implicit.</w:t>
      </w:r>
    </w:p>
    <w:p>
      <w:pPr>
        <w:pStyle w:val="Heading2"/>
        <w:keepNext/>
      </w:pPr>
      <w:r>
        <w:t>Criterion 4: Reading and Referencing — 70%</w:t>
      </w:r>
    </w:p>
    <w:p>
      <w:pPr>
        <w:keepLines/>
      </w:pPr>
      <w:r>
        <w:t>You use core scholarship, meta-analytic evidence, contemporary primary research and wider psychological literature effectively. Sources are integrated into the reasoning, numerical findings are handled carefully and the references are broadly consistent. This is strong academic practice. For further improvement, evaluate the external validity and measurement choices of the political studies in more depth and check minor APA details, including complete publication information for all online sources.</w:t>
      </w:r>
    </w:p>
    <w:p>
      <w:pPr>
        <w:pStyle w:val="Heading1"/>
        <w:keepNext/>
      </w:pPr>
      <w:r>
        <w:t>Overall assessment — 70% (First)</w:t>
      </w:r>
    </w:p>
    <w:p>
      <w:pPr>
        <w:keepLines/>
      </w:pPr>
      <w:r>
        <w:t>The weighted calculation uses the reported whole-number criterion grades: 70% × 30% + 73% × 25% + 70% × 20% + 70% × 25% = 70.75%. This gives a reported stepped mark of 70%. No critical-component ceiling applies. This is a strong First-class submission. It combines conceptual control, methodological awareness, a coherent evaluative thesis and excellent peer engagement. More explicit treatment of study limitations and learning across the discussion would strengthen it further.</w:t>
      </w:r>
    </w:p>
    <w:sectPr w:rsidR="00FC693F" w:rsidRPr="0006063C" w:rsidSect="00034616">
      <w:footerReference w:type="default" r:id="rId9"/>
      <w:pgSz w:w="12240" w:h="15840"/>
      <w:pgMar w:top="1008" w:right="1296" w:bottom="864" w:left="1296"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Calibri" w:hAnsi="Calibri"/>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contextualSpacing/>
    </w:pPr>
    <w:rPr>
      <w:rFonts w:asciiTheme="majorHAnsi" w:eastAsiaTheme="majorEastAsia" w:hAnsiTheme="majorHAnsi" w:cstheme="majorBidi" w:ascii="Calibri" w:hAnsi="Calibri"/>
      <w:b/>
      <w:color w:val="2E74B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Calibri" w:hAnsi="Calibri"/>
      <w:i w:val="0"/>
      <w:iCs/>
      <w:color w:val="595959"/>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0" w:hanging="216"/>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Sharon Paxman – Critical Thinking Feedback</dc:title>
  <dc:subject>Consolidated criteria feedback</dc:subject>
  <dc:creator>University of Edinburgh</dc:creator>
  <cp:keywords/>
  <dc:description>generated by python-docx</dc:description>
  <cp:lastModifiedBy/>
  <cp:revision>1</cp:revision>
  <dcterms:created xsi:type="dcterms:W3CDTF">2013-12-23T23:15:00Z</dcterms:created>
  <dcterms:modified xsi:type="dcterms:W3CDTF">2013-12-23T23:15:00Z</dcterms:modified>
  <cp:category/>
</cp:coreProperties>
</file>