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Sharon Smith</w:t>
      </w:r>
    </w:p>
    <w:p>
      <w:pPr>
        <w:keepNext/>
        <w:spacing w:after="40"/>
      </w:pPr>
      <w:r>
        <w:t>Overall grade: 70% (First)</w:t>
      </w:r>
    </w:p>
    <w:p>
      <w:pPr>
        <w:keepNext/>
        <w:spacing w:after="40"/>
      </w:pPr>
      <w:r>
        <w:t>Calculated weighted result: 70.75%; reported stepped mark: 70%</w:t>
      </w:r>
    </w:p>
    <w:p>
      <w:pPr>
        <w:keepNext/>
        <w:spacing w:after="40"/>
      </w:pPr>
      <w:r>
        <w:t>Coverage: all 16 subcriteria substantively covered; no grade ceiling applies</w:t>
      </w:r>
    </w:p>
    <w:p>
      <w:pPr>
        <w:pStyle w:val="Heading2"/>
        <w:keepNext/>
      </w:pPr>
      <w:r>
        <w:t>Strengths</w:t>
      </w:r>
    </w:p>
    <w:p>
      <w:pPr>
        <w:pStyle w:val="ListBullet"/>
      </w:pPr>
      <w:r>
        <w:t>You distinguish personalisation from manipulation and cooperation from ethical judgement.</w:t>
      </w:r>
    </w:p>
    <w:p>
      <w:pPr>
        <w:pStyle w:val="ListBullet"/>
      </w:pPr>
      <w:r>
        <w:t>You evaluate correlation, causation, bias, transfer and organisational pressure coherently.</w:t>
      </w:r>
    </w:p>
    <w:p>
      <w:pPr>
        <w:pStyle w:val="ListBullet"/>
      </w:pPr>
      <w:r>
        <w:t>Your peer responses add empirical evidence and precise counterexamples.</w:t>
      </w:r>
    </w:p>
    <w:p>
      <w:pPr>
        <w:pStyle w:val="Heading2"/>
        <w:keepNext/>
      </w:pPr>
      <w:r>
        <w:t>Areas for improvement</w:t>
      </w:r>
    </w:p>
    <w:p>
      <w:pPr>
        <w:pStyle w:val="ListBullet"/>
      </w:pPr>
      <w:r>
        <w:t>Extend the methodological critique of personality-matching and persuasion studies.</w:t>
      </w:r>
    </w:p>
    <w:p>
      <w:pPr>
        <w:pStyle w:val="ListBullet"/>
      </w:pPr>
      <w:r>
        <w:t>Keep Manner, hidden targeting processes and ethical transparency distinct.</w:t>
      </w:r>
    </w:p>
    <w:p>
      <w:pPr>
        <w:pStyle w:val="ListBullet"/>
      </w:pPr>
      <w:r>
        <w:t>Make your development through the peer discussion more explicit in the conclusion.</w:t>
      </w:r>
    </w:p>
    <w:p>
      <w:pPr>
        <w:pStyle w:val="Heading2"/>
        <w:keepNext/>
      </w:pPr>
      <w:r>
        <w:t>Criterion 1: Knowledge and Understanding — 70%</w:t>
      </w:r>
    </w:p>
    <w:p>
      <w:pPr>
        <w:keepLines/>
      </w:pPr>
      <w:r>
        <w:t>You demonstrate strong knowledge of Grice, Halpern, psychographic targeting and the evidence for teaching critical thinking. Your distinction between personalised communication and manipulation, and between reasoning quality and ethical application, is conceptually mature. Excellent job. For even greater precision, distinguish message clarity under Manner from opacity in profiling and delivery, and explain how successful transfer would be measured when employees move between datasets, platforms or electoral contexts.</w:t>
      </w:r>
    </w:p>
    <w:p>
      <w:pPr>
        <w:pStyle w:val="Heading2"/>
        <w:keepNext/>
      </w:pPr>
      <w:r>
        <w:t>Criterion 2: Critical Analysis and Evaluation — 73%</w:t>
      </w:r>
    </w:p>
    <w:p>
      <w:pPr>
        <w:keepLines/>
      </w:pPr>
      <w:r>
        <w:t>You evaluate individual maxims, selective framing, evidence quality, correlation and causation, cognitive bias and organisational constraints. The peer responses test categorical claims with credible counterexamples and distinguish campaign success from responsible critical thinking. Your conclusion therefore follows from sustained analysis. Strengthen it further by examining how personality was measured in the cited studies, the size and robustness of persuasive effects, and whether findings generalise from experimental settings to real elections.</w:t>
      </w:r>
    </w:p>
    <w:p>
      <w:pPr>
        <w:pStyle w:val="Heading2"/>
        <w:keepNext/>
        <w:pageBreakBefore/>
      </w:pPr>
      <w:r>
        <w:t>Criterion 3: Communication — 70%</w:t>
      </w:r>
    </w:p>
    <w:p>
      <w:pPr>
        <w:keepLines/>
      </w:pPr>
      <w:r>
        <w:t>The submission is well organised, clearly expressed and appropriately qualified. Both peer responses provide substantial critical engagement, adding evidence, identifying assumptions and posing questions that develop the discussion. Very well done. The informal response also shows responsiveness, but the final position could state more explicitly what you learned from the exchanges and which aspect of your initial argument was refined as a result.</w:t>
      </w:r>
    </w:p>
    <w:p>
      <w:pPr>
        <w:pStyle w:val="Heading2"/>
        <w:keepNext/>
      </w:pPr>
      <w:r>
        <w:t>Criterion 4: Reading and Referencing — 70%</w:t>
      </w:r>
    </w:p>
    <w:p>
      <w:pPr>
        <w:keepLines/>
      </w:pPr>
      <w:r>
        <w:t>You use a strong combination of foundational theory, meta-analysis and relevant contemporary research. Sources support specific claims, and you generally distinguish empirical evidence from ethical judgement. Referencing is clear and broadly consistent. To improve further, provide more methodological detail when using microtargeting studies, ensure all publication metadata are complete and apply the same critical scrutiny to each source rather than treating reputable publication as sufficient proof.</w:t>
      </w:r>
    </w:p>
    <w:p>
      <w:pPr>
        <w:pStyle w:val="Heading1"/>
        <w:keepNext/>
      </w:pPr>
      <w:r>
        <w:t>Overall assessment — 70% (First)</w:t>
      </w:r>
    </w:p>
    <w:p>
      <w:pPr>
        <w:keepLines/>
      </w:pPr>
      <w:r>
        <w:t>The weighted calculation uses the reported whole-number criterion grades: 70% × 30% + 73% × 25% + 70% × 20% + 70% × 25% = 70.75%. This gives a reported stepped mark of 70%. No critical-component ceiling applies. This is a strong First-class submission with precise conceptual distinctions, sustained critical evaluation, well-chosen research and excellent collaborative engagement. Greater methodological detail and a more explicit account of learning through discussion would enhance it further.</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Sharon Smith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