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Zihua Sandra Phua</w:t>
      </w:r>
    </w:p>
    <w:p>
      <w:pPr>
        <w:keepNext/>
        <w:spacing w:after="40"/>
      </w:pPr>
      <w:r>
        <w:t>Overall grade: 65% (2:1)</w:t>
      </w:r>
    </w:p>
    <w:p>
      <w:pPr>
        <w:keepNext/>
        <w:spacing w:after="40"/>
      </w:pPr>
      <w:r>
        <w:t>Calculated weighted result: 69.10%; reported stepped mark: 65%</w:t>
      </w:r>
    </w:p>
    <w:p>
      <w:pPr>
        <w:keepNext/>
        <w:spacing w:after="40"/>
      </w:pPr>
      <w:r>
        <w:t>Coverage: all 16 subcriteria substantively covered; no grade ceiling applies</w:t>
      </w:r>
    </w:p>
    <w:p>
      <w:pPr>
        <w:pStyle w:val="Heading2"/>
        <w:keepNext/>
      </w:pPr>
      <w:r>
        <w:t>Strengths</w:t>
      </w:r>
    </w:p>
    <w:p>
      <w:pPr>
        <w:pStyle w:val="ListBullet"/>
      </w:pPr>
      <w:r>
        <w:t>You integrate Grice and Halpern into a confident argument about strategic persuasion.</w:t>
      </w:r>
    </w:p>
    <w:p>
      <w:pPr>
        <w:pStyle w:val="ListBullet"/>
      </w:pPr>
      <w:r>
        <w:t>You distinguish local relevance from the broader transparency voters may need.</w:t>
      </w:r>
    </w:p>
    <w:p>
      <w:pPr>
        <w:pStyle w:val="ListBullet"/>
      </w:pPr>
      <w:r>
        <w:t>Your peer responses qualify claims and extend the discussion constructively.</w:t>
      </w:r>
    </w:p>
    <w:p>
      <w:pPr>
        <w:pStyle w:val="Heading2"/>
        <w:keepNext/>
      </w:pPr>
      <w:r>
        <w:t>Areas for improvement</w:t>
      </w:r>
    </w:p>
    <w:p>
      <w:pPr>
        <w:pStyle w:val="ListBullet"/>
      </w:pPr>
      <w:r>
        <w:t>Interrogate the methods and transferability of cited meta-analytic evidence.</w:t>
      </w:r>
    </w:p>
    <w:p>
      <w:pPr>
        <w:pStyle w:val="ListBullet"/>
      </w:pPr>
      <w:r>
        <w:t>Avoid implying that sophisticated campaign activity necessarily proves critical thinking.</w:t>
      </w:r>
    </w:p>
    <w:p>
      <w:pPr>
        <w:pStyle w:val="ListBullet"/>
      </w:pPr>
      <w:r>
        <w:t>Broaden the primary research base on political microtargeting and persuasive effects.</w:t>
      </w:r>
    </w:p>
    <w:p>
      <w:pPr>
        <w:pStyle w:val="Heading2"/>
        <w:keepNext/>
      </w:pPr>
      <w:r>
        <w:t>Criterion 1: Knowledge and Understanding — 70%</w:t>
      </w:r>
    </w:p>
    <w:p>
      <w:pPr>
        <w:keepLines/>
      </w:pPr>
      <w:r>
        <w:t>You demonstrate strong knowledge of the four maxims, Halpern's instructional model, the mechanics of targeting and the evidence that critical-thinking skills can improve. Your distinction between local relevance and wider campaign transparency is particularly useful. Well explained. The claim that deliberate segmentation and continual evaluation demonstrate critical thinking needs qualification: these activities may be routine optimisation unless assumptions, evidence and goals are genuinely examined. Also distinguish clear message content from opacity about profiling and delivery.</w:t>
      </w:r>
    </w:p>
    <w:p>
      <w:pPr>
        <w:pStyle w:val="Heading2"/>
        <w:keepNext/>
      </w:pPr>
      <w:r>
        <w:t>Criterion 2: Critical Analysis and Evaluation — 70%</w:t>
      </w:r>
    </w:p>
    <w:p>
      <w:pPr>
        <w:keepLines/>
      </w:pPr>
      <w:r>
        <w:t>You evaluate omission, context, emotional influence, theoretical fit and the possibility that reasoning skills can exploit cooperative expectations. Your peer responses challenge claims that targeting inevitably violates Grice and question whether educational gains transfer into professional judgement. Nice work. The evaluation would be stronger if you examined the methods and heterogeneity behind the meta-analytic findings, tested your position against transparent truthful targeting and considered evidence on actual persuasive effect rather than inferring it from campaign practice.</w:t>
      </w:r>
    </w:p>
    <w:p>
      <w:pPr>
        <w:pStyle w:val="Heading2"/>
        <w:keepNext/>
        <w:pageBreakBefore/>
      </w:pPr>
      <w:r>
        <w:t>Criterion 3: Communication — 68%</w:t>
      </w:r>
    </w:p>
    <w:p>
      <w:pPr>
        <w:keepLines/>
      </w:pPr>
      <w:r>
        <w:t>The initial post presents a clear, integrated thesis and progresses logically to a supported conclusion. Both required peer responses identify strengths, offer qualifications and develop useful conceptual distinctions, while the informal contribution responds directly to another perspective. Expression is generally strong. Some claims are compressed into dense sentences, and the learning across the discussion remains implicit. Use slightly shorter sentences and identify how the exchanges refined your own judgement.</w:t>
      </w:r>
    </w:p>
    <w:p>
      <w:pPr>
        <w:pStyle w:val="Heading2"/>
        <w:keepNext/>
      </w:pPr>
      <w:r>
        <w:t>Criterion 4: Reading and Referencing — 68%</w:t>
      </w:r>
    </w:p>
    <w:p>
      <w:pPr>
        <w:keepLines/>
      </w:pPr>
      <w:r>
        <w:t>You use the principal course scholarship and relevant meta-analytic work appropriately, with citations integrated into the argument. The evidence base is credible, but wider primary research on political microtargeting and persuasion is comparatively limited, and several sources are theoretical or instructional rather than direct evidence about campaign effects. Add well-matched primary studies, examine their designs and limitations, and standardise minor APA details in titles, publication information and DOI presentation.</w:t>
      </w:r>
    </w:p>
    <w:p>
      <w:pPr>
        <w:pStyle w:val="Heading1"/>
        <w:keepNext/>
      </w:pPr>
      <w:r>
        <w:t>Overall assessment — 65% (2:1)</w:t>
      </w:r>
    </w:p>
    <w:p>
      <w:pPr>
        <w:keepLines/>
      </w:pPr>
      <w:r>
        <w:t>The weighted calculation uses the reported whole-number criterion grades: 70% × 30% + 70% × 25% + 68% × 20% + 68% × 25% = 69.10%. This gives a reported stepped mark of 65%. No critical-component ceiling applies. This is a very strong 2:1 submission with conceptual integration, balanced judgement and constructive peer engagement. It remains below a First because the direct empirical evidence and methodological evaluation of political targeting are not sufficiently extensive.</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Zihua Sandra Phua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