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F4E79"/>
          <w:sz w:val="30"/>
        </w:rPr>
        <w:t>Participant_565721_assignsubmission_file</w:t>
      </w:r>
    </w:p>
    <w:p>
      <w:pPr>
        <w:spacing w:after="120"/>
      </w:pPr>
      <w:r>
        <w:rPr>
          <w:rFonts w:ascii="Aptos" w:hAnsi="Aptos"/>
          <w:b/>
          <w:sz w:val="21"/>
        </w:rPr>
        <w:t>Nataliia Trykush</w:t>
      </w:r>
    </w:p>
    <w:p>
      <w:pPr>
        <w:pStyle w:val="Heading1"/>
        <w:spacing w:before="140" w:after="40"/>
      </w:pPr>
      <w:r>
        <w:rPr>
          <w:rFonts w:ascii="Aptos Display" w:hAnsi="Aptos Display"/>
          <w:b/>
          <w:color w:val="1F4E79"/>
          <w:sz w:val="24"/>
        </w:rPr>
        <w:t>Strengths</w:t>
      </w:r>
    </w:p>
    <w:p>
      <w:pPr>
        <w:pStyle w:val="ListBullet"/>
        <w:spacing w:after="40"/>
        <w:ind w:left="317" w:hanging="173"/>
      </w:pPr>
      <w:r>
        <w:rPr>
          <w:rFonts w:ascii="Aptos" w:hAnsi="Aptos"/>
          <w:sz w:val="21"/>
        </w:rPr>
        <w:t>You build a clear HPA-axis and hippocampal mechanism linking longer-term cortisol exposure to episodic-memory performance.</w:t>
      </w:r>
    </w:p>
    <w:p>
      <w:pPr>
        <w:pStyle w:val="ListBullet"/>
        <w:spacing w:after="40"/>
        <w:ind w:left="317" w:hanging="173"/>
      </w:pPr>
      <w:r>
        <w:rPr>
          <w:rFonts w:ascii="Aptos" w:hAnsi="Aptos"/>
          <w:sz w:val="21"/>
        </w:rPr>
        <w:t>Your moderation hypothesis is well matched to a hierarchical regression with centred predictors and an explicit HCC × resilience interaction.</w:t>
      </w:r>
    </w:p>
    <w:p>
      <w:pPr>
        <w:pStyle w:val="ListBullet"/>
        <w:spacing w:after="40"/>
        <w:ind w:left="317" w:hanging="173"/>
      </w:pPr>
      <w:r>
        <w:rPr>
          <w:rFonts w:ascii="Aptos" w:hAnsi="Aptos"/>
          <w:sz w:val="21"/>
        </w:rPr>
        <w:t>You use a suitable open dataset and distinguish hair cortisol, resilience and delayed recall as separate constructs rather than treating them as interchangeable.</w:t>
      </w:r>
    </w:p>
    <w:p>
      <w:pPr>
        <w:pStyle w:val="Heading1"/>
        <w:spacing w:before="140" w:after="40"/>
      </w:pPr>
      <w:r>
        <w:rPr>
          <w:rFonts w:ascii="Aptos Display" w:hAnsi="Aptos Display"/>
          <w:b/>
          <w:color w:val="1F4E79"/>
          <w:sz w:val="24"/>
        </w:rPr>
        <w:t>Areas for Improvement</w:t>
      </w:r>
    </w:p>
    <w:p>
      <w:pPr>
        <w:pStyle w:val="ListBullet"/>
        <w:spacing w:after="40"/>
        <w:ind w:left="317" w:hanging="173"/>
      </w:pPr>
      <w:r>
        <w:rPr>
          <w:rFonts w:ascii="Aptos" w:hAnsi="Aptos"/>
          <w:sz w:val="21"/>
        </w:rPr>
        <w:t>Add a formal sensitivity or power analysis for the fixed sample of 63 so that the likely precision of the moderation test is explicit.</w:t>
      </w:r>
    </w:p>
    <w:p>
      <w:pPr>
        <w:pStyle w:val="ListBullet"/>
        <w:spacing w:after="40"/>
        <w:ind w:left="317" w:hanging="173"/>
      </w:pPr>
      <w:r>
        <w:rPr>
          <w:rFonts w:ascii="Aptos" w:hAnsi="Aptos"/>
          <w:sz w:val="21"/>
        </w:rPr>
        <w:t>Expand the secondary-data ethics section to address dataset licence, original consent for reuse, access controls, retention and management of derived data.</w:t>
      </w:r>
    </w:p>
    <w:p>
      <w:pPr>
        <w:pStyle w:val="ListBullet"/>
        <w:spacing w:after="40"/>
        <w:ind w:left="317" w:hanging="173"/>
      </w:pPr>
      <w:r>
        <w:rPr>
          <w:rFonts w:ascii="Aptos" w:hAnsi="Aptos"/>
          <w:sz w:val="21"/>
        </w:rPr>
        <w:t>Include the required research timeline and check that all required proposal components are visibly present in the final document.</w:t>
      </w:r>
    </w:p>
    <w:p>
      <w:pPr>
        <w:pStyle w:val="Heading1"/>
        <w:spacing w:before="140" w:after="40"/>
      </w:pPr>
      <w:r>
        <w:rPr>
          <w:rFonts w:ascii="Aptos Display" w:hAnsi="Aptos Display"/>
          <w:b/>
          <w:color w:val="1F4E79"/>
          <w:sz w:val="24"/>
        </w:rPr>
        <w:t>Knowledge and Understanding of the Topic / Issues — 76%</w:t>
      </w:r>
    </w:p>
    <w:p>
      <w:pPr>
        <w:spacing w:after="100" w:line="252" w:lineRule="auto"/>
      </w:pPr>
      <w:r>
        <w:rPr>
          <w:rFonts w:ascii="Aptos" w:hAnsi="Aptos"/>
          <w:b w:val="0"/>
          <w:sz w:val="21"/>
        </w:rPr>
        <w:t>You demonstrate very good psychobiological understanding. The account of mineralocorticoid and glucocorticoid receptors, HPA-axis regulation, hippocampal plasticity and delayed episodic memory provides a genuine mechanistic bridge between the biological predictor and the cognitive outcome. The research question, directional moderation hypothesis and objectives all follow from this rationale. Particularly strong is the distinction between long-term cortisol exposure and psychological resilience, which allows the proposed interaction to test a specific explanation for variability in prior findings.</w:t>
      </w:r>
    </w:p>
    <w:p>
      <w:pPr>
        <w:pStyle w:val="Heading1"/>
        <w:spacing w:before="140" w:after="40"/>
      </w:pPr>
      <w:r>
        <w:rPr>
          <w:rFonts w:ascii="Aptos Display" w:hAnsi="Aptos Display"/>
          <w:b/>
          <w:color w:val="1F4E79"/>
          <w:sz w:val="24"/>
        </w:rPr>
        <w:t>Research Methodology and Appropriate Implementation — 70%</w:t>
      </w:r>
    </w:p>
    <w:p>
      <w:pPr>
        <w:spacing w:after="100" w:line="252" w:lineRule="auto"/>
      </w:pPr>
      <w:r>
        <w:rPr>
          <w:rFonts w:ascii="Aptos" w:hAnsi="Aptos"/>
          <w:b w:val="0"/>
          <w:sz w:val="21"/>
        </w:rPr>
        <w:t>The secondary-data design is well chosen and highly feasible. You identify the relevant variables from the Sáez-Sanz dataset, describe the HVLT-R, CD-RISC and hair cortisol measure, and specify hierarchical multiple regression with age and the main effects entered before the HCC × resilience interaction. Because the sample is fixed at 63 and moderation effects are often difficult to detect, you should estimate the smallest interaction effect this sample can detect, or otherwise justify the evidential limits imposed by the dataset. This would make the interpretation of a null interaction much more defensible.</w:t>
      </w:r>
    </w:p>
    <w:p>
      <w:pPr>
        <w:pStyle w:val="Heading1"/>
        <w:spacing w:before="140" w:after="40"/>
      </w:pPr>
      <w:r>
        <w:rPr>
          <w:rFonts w:ascii="Aptos Display" w:hAnsi="Aptos Display"/>
          <w:b/>
          <w:color w:val="1F4E79"/>
          <w:sz w:val="24"/>
        </w:rPr>
        <w:t>Ethical Considerations — 68%</w:t>
      </w:r>
    </w:p>
    <w:p>
      <w:pPr>
        <w:spacing w:after="100" w:line="252" w:lineRule="auto"/>
      </w:pPr>
      <w:r>
        <w:rPr>
          <w:rFonts w:ascii="Aptos" w:hAnsi="Aptos"/>
          <w:b w:val="0"/>
          <w:sz w:val="21"/>
        </w:rPr>
        <w:t>You correctly recognise that the proposed project uses an openly available, de-identified secondary dataset and that no new participant consent is required for the new analysis if the original consent and data-sharing conditions permit reuse. You identify the original ethics approval and signed consent and note the minimal additional risk. State the dataset licence or terms of reuse, confirm that the planned analysis is compatible with the original consent, explain where the downloaded and derived files will be stored, who will have access and how long they will be retained. Secondary-data research still requires active ethical reasoning about governance and responsible reuse rather than only reduced participant risk.</w:t>
      </w:r>
    </w:p>
    <w:p>
      <w:pPr>
        <w:pStyle w:val="Heading1"/>
        <w:spacing w:before="140" w:after="40"/>
      </w:pPr>
      <w:r>
        <w:rPr>
          <w:rFonts w:ascii="Aptos Display" w:hAnsi="Aptos Display"/>
          <w:b/>
          <w:color w:val="1F4E79"/>
          <w:sz w:val="24"/>
        </w:rPr>
        <w:t>Criticality — 76%</w:t>
      </w:r>
    </w:p>
    <w:p>
      <w:pPr>
        <w:spacing w:after="100" w:line="252" w:lineRule="auto"/>
      </w:pPr>
      <w:r>
        <w:rPr>
          <w:rFonts w:ascii="Aptos" w:hAnsi="Aptos"/>
          <w:b w:val="0"/>
          <w:sz w:val="21"/>
        </w:rPr>
        <w:t>Your criticality is strong throughout. You distinguish acute from chronic stress, note that associations between hair cortisol and memory can disappear after covariate adjustment, and use inconsistent findings to motivate resilience as a boundary condition. A further step would be to consider whether age alone is sufficient adjustment in a sample spanning 58 to 93 years, and whether health or medication variables available in the source dataset could plausibly confound both cortisol and memory. That would deepen the causal caution further.</w:t>
      </w:r>
    </w:p>
    <w:p>
      <w:pPr>
        <w:pStyle w:val="Heading1"/>
        <w:spacing w:before="140" w:after="40"/>
      </w:pPr>
      <w:r>
        <w:rPr>
          <w:rFonts w:ascii="Aptos Display" w:hAnsi="Aptos Display"/>
          <w:b/>
          <w:color w:val="1F4E79"/>
          <w:sz w:val="24"/>
        </w:rPr>
        <w:t>Academic Integrity — 76%</w:t>
      </w:r>
    </w:p>
    <w:p>
      <w:pPr>
        <w:spacing w:after="100" w:line="252" w:lineRule="auto"/>
      </w:pPr>
      <w:r>
        <w:rPr>
          <w:rFonts w:ascii="Aptos" w:hAnsi="Aptos"/>
          <w:b w:val="0"/>
          <w:sz w:val="21"/>
        </w:rPr>
        <w:t>Your sources are consistently attributed and the reference list provides a clear scholarly trail from theoretical claims to methods and measures. You distinguish empirical findings from the hypothesis you are proposing and you explicitly acknowledge your use of generative AI in a way that leaves responsibility for the work with you. The proposal is also transparent about what the secondary dataset can and cannot establish. Continue to ensure that every claim about a dataset variable or measurement procedure is traceable to the original study or dataset documentation, particularly when translating the original measures into your new moderation model.</w:t>
      </w:r>
    </w:p>
    <w:p>
      <w:pPr>
        <w:pStyle w:val="Heading1"/>
        <w:spacing w:before="140" w:after="40"/>
      </w:pPr>
      <w:r>
        <w:rPr>
          <w:rFonts w:ascii="Aptos Display" w:hAnsi="Aptos Display"/>
          <w:b/>
          <w:color w:val="1F4E79"/>
          <w:sz w:val="24"/>
        </w:rPr>
        <w:t>Use of Relevant Sources — 76%</w:t>
      </w:r>
    </w:p>
    <w:p>
      <w:pPr>
        <w:spacing w:after="100" w:line="252" w:lineRule="auto"/>
      </w:pPr>
      <w:r>
        <w:rPr>
          <w:rFonts w:ascii="Aptos" w:hAnsi="Aptos"/>
          <w:b w:val="0"/>
          <w:sz w:val="21"/>
        </w:rPr>
        <w:t>The reading is broad, relevant and well integrated. You combine foundational work on stress and the hippocampus with recent reviews, longitudinal evidence, work on hair cortisol and resilience, and methodological evidence for the HVLT-R. One useful addition would be methodological evidence specifically on statistical power for moderation and, if available, measurement reliability of HCC and resilience within older samples. That would connect the strong theoretical reading even more directly to the inferential limits of the planned analysis.</w:t>
      </w:r>
    </w:p>
    <w:p>
      <w:pPr>
        <w:pStyle w:val="Heading1"/>
        <w:spacing w:before="140" w:after="40"/>
      </w:pPr>
      <w:r>
        <w:rPr>
          <w:rFonts w:ascii="Aptos Display" w:hAnsi="Aptos Display"/>
          <w:b/>
          <w:color w:val="1F4E79"/>
          <w:sz w:val="24"/>
        </w:rPr>
        <w:t>Structure and Presentation — 45%</w:t>
      </w:r>
    </w:p>
    <w:p>
      <w:pPr>
        <w:spacing w:after="100" w:line="252" w:lineRule="auto"/>
      </w:pPr>
      <w:r>
        <w:rPr>
          <w:rFonts w:ascii="Aptos" w:hAnsi="Aptos"/>
          <w:b w:val="0"/>
          <w:sz w:val="21"/>
        </w:rPr>
        <w:t>The proposal is otherwise clearly organised, with a logical progression from biological mechanism to gap, question, variables, regression plan, ethics and limitations. The prose is generally concise and the sectioning makes the study easy to follow. A secondary-data study still benefits from a timeline because data cleaning, variable coding, assumption checking and reproducible analysis can take substantial time. Also check that any necessary appendices or dataset documentation are included or clearly referenced.</w:t>
      </w:r>
    </w:p>
    <w:p>
      <w:pPr>
        <w:pStyle w:val="Heading1"/>
        <w:spacing w:before="140" w:after="40"/>
      </w:pPr>
      <w:r>
        <w:rPr>
          <w:rFonts w:ascii="Aptos Display" w:hAnsi="Aptos Display"/>
          <w:b/>
          <w:color w:val="1F4E79"/>
          <w:sz w:val="24"/>
        </w:rPr>
        <w:t>Overall grade — 70%</w:t>
      </w:r>
    </w:p>
    <w:p>
      <w:pPr>
        <w:spacing w:after="100" w:line="252" w:lineRule="auto"/>
      </w:pPr>
      <w:r>
        <w:rPr>
          <w:rFonts w:ascii="Aptos" w:hAnsi="Aptos"/>
          <w:b w:val="0"/>
          <w:sz w:val="21"/>
        </w:rPr>
        <w:t>This is a strong and scientifically coherent proposal. The HPA-axis–hippocampal rationale is well developed, the moderation question arises naturally from mixed prior findings, and the hierarchical regression is appropriately specified. Finally, add the missing research timeline. With those changes, the proposal would be very well positioned as a feasible and theoretically meaningful MSc project.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Psychobiology &amp; Neuroscience | Research Proposal Feedback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