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Participant_565723_assignsubmission_file</w:t>
      </w:r>
    </w:p>
    <w:p>
      <w:pPr>
        <w:spacing w:after="120"/>
      </w:pPr>
      <w:r>
        <w:rPr>
          <w:rFonts w:ascii="Aptos" w:hAnsi="Aptos"/>
          <w:b/>
          <w:sz w:val="21"/>
        </w:rPr>
        <w:t>Moyosore Olalekan Olasupo</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integrate neural error monitoring, behavioural post-error adjustment and psychometric reliability into one unusually coherent research programme.</w:t>
      </w:r>
    </w:p>
    <w:p>
      <w:pPr>
        <w:pStyle w:val="ListBullet"/>
        <w:spacing w:after="40"/>
        <w:ind w:left="317" w:hanging="173"/>
      </w:pPr>
      <w:r>
        <w:rPr>
          <w:rFonts w:ascii="Aptos" w:hAnsi="Aptos"/>
          <w:sz w:val="21"/>
        </w:rPr>
        <w:t>Your EEG operationalisation is technically informed, including dWPLI, trial-count matching, ΔERN and explicit limits on anatomical interpretation.</w:t>
      </w:r>
    </w:p>
    <w:p>
      <w:pPr>
        <w:pStyle w:val="ListBullet"/>
        <w:spacing w:after="40"/>
        <w:ind w:left="317" w:hanging="173"/>
      </w:pPr>
      <w:r>
        <w:rPr>
          <w:rFonts w:ascii="Aptos" w:hAnsi="Aptos"/>
          <w:sz w:val="21"/>
        </w:rPr>
        <w:t>Your limitations distinguish reliability, validity, causal inference and measurement artefact rather than treating them as interchangeable problems.</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Name the exact inferential tests for H1 and H2 rather than leaving them as an “appropriate prespecified group-level test”.</w:t>
      </w:r>
    </w:p>
    <w:p>
      <w:pPr>
        <w:pStyle w:val="ListBullet"/>
        <w:spacing w:after="40"/>
        <w:ind w:left="317" w:hanging="173"/>
      </w:pPr>
      <w:r>
        <w:rPr>
          <w:rFonts w:ascii="Aptos" w:hAnsi="Aptos"/>
          <w:sz w:val="21"/>
        </w:rPr>
        <w:t>Finalise the connectivity estimator, aggregation rules, wavelet parameters and multiple-testing strategy before describing the protocol as fully prespecified.</w:t>
      </w:r>
    </w:p>
    <w:p>
      <w:pPr>
        <w:pStyle w:val="ListBullet"/>
        <w:spacing w:after="40"/>
        <w:ind w:left="317" w:hanging="173"/>
      </w:pPr>
      <w:r>
        <w:rPr>
          <w:rFonts w:ascii="Aptos" w:hAnsi="Aptos"/>
          <w:sz w:val="21"/>
        </w:rPr>
        <w:t>Replace “storage arrangements will be documented once confirmed” with a complete data-governance plan in the proposal itself.</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understanding of the neuroscience of error monitoring. The proposal distinguishes ERN, theta power and phase synchrony, links them to reinforcement-learning and network accounts, and avoids equating scalp connectivity with direct communication between anatomical regions. The research questions, hypotheses and objectives are tightly connected to the literature, and the distinction between post-error slowing and genuinely adaptive performance adjustment is handled carefully. This gives the study a clear mechanistic and measurement-focused contribution.</w:t>
      </w:r>
    </w:p>
    <w:p>
      <w:pPr>
        <w:pStyle w:val="Heading1"/>
        <w:spacing w:before="140" w:after="40"/>
      </w:pPr>
      <w:r>
        <w:rPr>
          <w:rFonts w:ascii="Aptos Display" w:hAnsi="Aptos Display"/>
          <w:b/>
          <w:color w:val="1F4E79"/>
          <w:sz w:val="24"/>
        </w:rPr>
        <w:t>Research Methodology and Appropriate Implementation — 70%</w:t>
      </w:r>
    </w:p>
    <w:p>
      <w:pPr>
        <w:spacing w:after="100" w:line="252" w:lineRule="auto"/>
      </w:pPr>
      <w:r>
        <w:rPr>
          <w:rFonts w:ascii="Aptos" w:hAnsi="Aptos"/>
          <w:b w:val="0"/>
          <w:sz w:val="21"/>
        </w:rPr>
        <w:t>The secondary analysis of ds004883 is sophisticated and largely very well specified. You describe the 128-channel recordings, event metadata, behavioural sequence reconstruction, response-locked ERPs, 4–8 Hz connectivity, the PES calculation, matched trial counts and split-half reliability. Those are central analytic choices rather than minor implementation details. Naming them now would make the proposal genuinely reproducible and remove researcher degrees of freedom from the confirmatory analyses.</w:t>
      </w:r>
    </w:p>
    <w:p>
      <w:pPr>
        <w:pStyle w:val="Heading1"/>
        <w:spacing w:before="140" w:after="40"/>
      </w:pPr>
      <w:r>
        <w:rPr>
          <w:rFonts w:ascii="Aptos Display" w:hAnsi="Aptos Display"/>
          <w:b/>
          <w:color w:val="1F4E79"/>
          <w:sz w:val="24"/>
        </w:rPr>
        <w:t>Ethical Considerations — 76%</w:t>
      </w:r>
    </w:p>
    <w:p>
      <w:pPr>
        <w:spacing w:after="100" w:line="252" w:lineRule="auto"/>
      </w:pPr>
      <w:r>
        <w:rPr>
          <w:rFonts w:ascii="Aptos" w:hAnsi="Aptos"/>
          <w:b w:val="0"/>
          <w:sz w:val="21"/>
        </w:rPr>
        <w:t>Your ethical treatment of public EEG data is strong. You establish that the source participants provided written consent covering public sharing, that the data are de-identified, that no participants will be contacted and that you will not attempt re-identification. For a complete proposal, state where the dataset and derived files will be stored, who will have access, what will be retained, and how any locally generated participant-level files will be handled. This is especially relevant because openly shared data can still be sensitive even when direct identifiers have been removed.</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Critical analysis is a major strength. You question whether post-error slowing necessarily reflects successful adaptation, distinguish precision from individual-differences reliability, recognise volume conduction and sample-size bias, and explain why dWPLI reduces but does not eliminate interpretive problems. Good work here. You could go one step further by specifying how an unsupported H2 result would constrain interpretation of H3 and whether the reliability comparison should be viewed as confirmatory or primarily methodological given the available trial counts.</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The proposal is evidentially transparent and consistently attributed. You separate established findings from your own proposed tests, distinguish confirmatory hypotheses from the H4b robustness analysis, and clearly state where planned choices still need to be fixed. Continue to preserve the boundary between registered confirmatory decisions and exploratory adaptations when the dataset is inspected. Because this is a secondary analysis, any decision made after seeing data quality or trial distributions should be recorded explicitly so that readers can distinguish genuine prespecification from data-informed adjustment.</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Your sources are well selected and unusually well matched to the methodological problem. Cavanagh and colleagues support the frontal-theta premise, Danielmeier and Ullsperger support the behavioural interpretation, Vinck provides the connectivity estimator, Clayson supports reliability, and Dutilh directly informs the PES calculation. The evidence base is current enough for the proposed dataset and includes the source data publication itself. A useful extension would be one or two more recent papers on test–retest or split-half reliability of connectivity measures, but the existing reading already provides a strong and coherent foundation.</w:t>
      </w:r>
    </w:p>
    <w:p>
      <w:pPr>
        <w:pStyle w:val="Heading1"/>
        <w:spacing w:before="140" w:after="40"/>
      </w:pPr>
      <w:r>
        <w:rPr>
          <w:rFonts w:ascii="Aptos Display" w:hAnsi="Aptos Display"/>
          <w:b/>
          <w:color w:val="1F4E79"/>
          <w:sz w:val="24"/>
        </w:rPr>
        <w:t>Structure and Presentation — 76%</w:t>
      </w:r>
    </w:p>
    <w:p>
      <w:pPr>
        <w:spacing w:after="100" w:line="252" w:lineRule="auto"/>
      </w:pPr>
      <w:r>
        <w:rPr>
          <w:rFonts w:ascii="Aptos" w:hAnsi="Aptos"/>
          <w:b w:val="0"/>
          <w:sz w:val="21"/>
        </w:rPr>
        <w:t>The proposal is well organised and professionally presented. The sequence from literature to theory, hypotheses, design, preprocessing, behavioural reconstruction, ethics, limitations and timeline is clear despite the technical complexity. The writing is concise for the amount of material covered, and the distinction between primary, secondary and robustness analyses improves readability. The main presentation improvement is not stylistic but procedural: wherever the text says that an analysis choice “will be specified”, replace that placeholder with the final choice so the document reads as a complete protocol rather than a near-final one.</w:t>
      </w:r>
    </w:p>
    <w:p>
      <w:pPr>
        <w:pStyle w:val="Heading1"/>
        <w:spacing w:before="140" w:after="40"/>
      </w:pPr>
      <w:r>
        <w:rPr>
          <w:rFonts w:ascii="Aptos Display" w:hAnsi="Aptos Display"/>
          <w:b/>
          <w:color w:val="1F4E79"/>
          <w:sz w:val="24"/>
        </w:rPr>
        <w:t>Overall grade — 75%</w:t>
      </w:r>
    </w:p>
    <w:p>
      <w:pPr>
        <w:spacing w:after="100" w:line="252" w:lineRule="auto"/>
      </w:pPr>
      <w:r>
        <w:rPr>
          <w:rFonts w:ascii="Aptos" w:hAnsi="Aptos"/>
          <w:b w:val="0"/>
          <w:sz w:val="21"/>
        </w:rPr>
        <w:t>This is an excellent proposal whose main strength is the integration of psychobiological theory with measurement quality. You do not simply ask whether an EEG signal correlates with behaviour; you also examine whether the signal can support reliable individual-differences inference. Add a fully specified data-governance plan as well. These are relatively focused refinements to an otherwise highly coherent, critical and feasible secondary-data study.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