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F4E79"/>
          <w:sz w:val="30"/>
        </w:rPr>
        <w:t>Participant_565724_assignsubmission_file</w:t>
      </w:r>
    </w:p>
    <w:p>
      <w:pPr>
        <w:spacing w:after="120"/>
      </w:pPr>
      <w:r>
        <w:rPr>
          <w:rFonts w:ascii="Aptos" w:hAnsi="Aptos"/>
          <w:b/>
          <w:sz w:val="21"/>
        </w:rPr>
        <w:t>Liv Tissot</w:t>
      </w:r>
    </w:p>
    <w:p>
      <w:pPr>
        <w:pStyle w:val="Heading1"/>
        <w:spacing w:before="140" w:after="40"/>
      </w:pPr>
      <w:r>
        <w:rPr>
          <w:rFonts w:ascii="Aptos Display" w:hAnsi="Aptos Display"/>
          <w:b/>
          <w:color w:val="1F4E79"/>
          <w:sz w:val="24"/>
        </w:rPr>
        <w:t>Strengths</w:t>
      </w:r>
    </w:p>
    <w:p>
      <w:pPr>
        <w:pStyle w:val="ListBullet"/>
        <w:spacing w:after="40"/>
        <w:ind w:left="317" w:hanging="173"/>
      </w:pPr>
      <w:r>
        <w:rPr>
          <w:rFonts w:ascii="Aptos" w:hAnsi="Aptos"/>
          <w:sz w:val="21"/>
        </w:rPr>
        <w:t>You identify a clear and practically relevant question about meal-timing regularity, wellbeing and possible sex differences.</w:t>
      </w:r>
    </w:p>
    <w:p>
      <w:pPr>
        <w:pStyle w:val="ListBullet"/>
        <w:spacing w:after="40"/>
        <w:ind w:left="317" w:hanging="173"/>
      </w:pPr>
      <w:r>
        <w:rPr>
          <w:rFonts w:ascii="Aptos" w:hAnsi="Aptos"/>
          <w:sz w:val="21"/>
        </w:rPr>
        <w:t>You recognise that assigning meal times creates participant risk and make a genuine attempt to justify and mitigate that manipulation ethically.</w:t>
      </w:r>
    </w:p>
    <w:p>
      <w:pPr>
        <w:pStyle w:val="ListBullet"/>
        <w:spacing w:after="40"/>
        <w:ind w:left="317" w:hanging="173"/>
      </w:pPr>
      <w:r>
        <w:rPr>
          <w:rFonts w:ascii="Aptos" w:hAnsi="Aptos"/>
          <w:sz w:val="21"/>
        </w:rPr>
        <w:t>You provide participant-facing materials, a timeline and an explicit plan to test condition, sex and their interaction.</w:t>
      </w:r>
    </w:p>
    <w:p>
      <w:pPr>
        <w:pStyle w:val="Heading1"/>
        <w:spacing w:before="140" w:after="40"/>
      </w:pPr>
      <w:r>
        <w:rPr>
          <w:rFonts w:ascii="Aptos Display" w:hAnsi="Aptos Display"/>
          <w:b/>
          <w:color w:val="1F4E79"/>
          <w:sz w:val="24"/>
        </w:rPr>
        <w:t>Areas for Improvement</w:t>
      </w:r>
    </w:p>
    <w:p>
      <w:pPr>
        <w:pStyle w:val="ListBullet"/>
        <w:spacing w:after="40"/>
        <w:ind w:left="317" w:hanging="173"/>
      </w:pPr>
      <w:r>
        <w:rPr>
          <w:rFonts w:ascii="Aptos" w:hAnsi="Aptos"/>
          <w:sz w:val="21"/>
        </w:rPr>
        <w:t>Redesign the study so that the biological or physiological component is actually measured rather than inferred from general discussion of circadian rhythms and the gut–brain axis.</w:t>
      </w:r>
    </w:p>
    <w:p>
      <w:pPr>
        <w:pStyle w:val="ListBullet"/>
        <w:spacing w:after="40"/>
        <w:ind w:left="317" w:hanging="173"/>
      </w:pPr>
      <w:r>
        <w:rPr>
          <w:rFonts w:ascii="Aptos" w:hAnsi="Aptos"/>
          <w:sz w:val="21"/>
        </w:rPr>
        <w:t>Resolve the contradiction over which group receives standardised meal times and use an analysis that correctly models repeated daily WHO-5 measurements.</w:t>
      </w:r>
    </w:p>
    <w:p>
      <w:pPr>
        <w:pStyle w:val="ListBullet"/>
        <w:spacing w:after="40"/>
        <w:ind w:left="317" w:hanging="173"/>
      </w:pPr>
      <w:r>
        <w:rPr>
          <w:rFonts w:ascii="Aptos" w:hAnsi="Aptos"/>
          <w:sz w:val="21"/>
        </w:rPr>
        <w:t>Deepen the critical literature review and justify the measures and sample size with direct methodological evidence rather than broad claims.</w:t>
      </w:r>
    </w:p>
    <w:p>
      <w:pPr>
        <w:pStyle w:val="Heading1"/>
        <w:spacing w:before="140" w:after="40"/>
      </w:pPr>
      <w:r>
        <w:rPr>
          <w:rFonts w:ascii="Aptos Display" w:hAnsi="Aptos Display"/>
          <w:b/>
          <w:color w:val="1F4E79"/>
          <w:sz w:val="24"/>
        </w:rPr>
        <w:t>Knowledge and Understanding of the Topic / Issues — 37%</w:t>
      </w:r>
    </w:p>
    <w:p>
      <w:pPr>
        <w:spacing w:after="100" w:line="252" w:lineRule="auto"/>
      </w:pPr>
      <w:r>
        <w:rPr>
          <w:rFonts w:ascii="Aptos" w:hAnsi="Aptos"/>
          <w:b w:val="0"/>
          <w:sz w:val="21"/>
        </w:rPr>
        <w:t>You introduce relevant ideas about circadian regulation, the gut–brain axis, stress hormones and sex differences, and the question of whether regular meal timing relates to emotional wellbeing is clear. However, the proposal does not operationalise a biological or neuropsychological variable. To make the proposal genuinely psychobiological, either add a feasible physiological measure tied to the proposed mechanism or reformulate the study around a neuropsychological/physiological outcome. The rationale also needs a more precise gap than the broad claim that meal regularity has not been examined as the only independent variable.</w:t>
      </w:r>
    </w:p>
    <w:p>
      <w:pPr>
        <w:pStyle w:val="Heading1"/>
        <w:spacing w:before="140" w:after="40"/>
      </w:pPr>
      <w:r>
        <w:rPr>
          <w:rFonts w:ascii="Aptos Display" w:hAnsi="Aptos Display"/>
          <w:b/>
          <w:color w:val="1F4E79"/>
          <w:sz w:val="24"/>
        </w:rPr>
        <w:t>Research Methodology and Appropriate Implementation — 37%</w:t>
      </w:r>
    </w:p>
    <w:p>
      <w:pPr>
        <w:spacing w:after="100" w:line="252" w:lineRule="auto"/>
      </w:pPr>
      <w:r>
        <w:rPr>
          <w:rFonts w:ascii="Aptos" w:hAnsi="Aptos"/>
          <w:b w:val="0"/>
          <w:sz w:val="21"/>
        </w:rPr>
        <w:t>There are important design and analysis inconsistencies that must be resolved. The abstract states that the test group receives allotted meal times, while the Design section says the control group has standardised meal times and the test group does not. The sample of 256 is described as giving standard power for a medium effect, but the actual power calculation and assumptions are not provided. These issues substantially weaken methodological coherence.</w:t>
      </w:r>
    </w:p>
    <w:p>
      <w:pPr>
        <w:pStyle w:val="Heading1"/>
        <w:spacing w:before="140" w:after="40"/>
      </w:pPr>
      <w:r>
        <w:rPr>
          <w:rFonts w:ascii="Aptos Display" w:hAnsi="Aptos Display"/>
          <w:b/>
          <w:color w:val="1F4E79"/>
          <w:sz w:val="24"/>
        </w:rPr>
        <w:t>Ethical Considerations — 45%</w:t>
      </w:r>
    </w:p>
    <w:p>
      <w:pPr>
        <w:spacing w:after="100" w:line="252" w:lineRule="auto"/>
      </w:pPr>
      <w:r>
        <w:rPr>
          <w:rFonts w:ascii="Aptos" w:hAnsi="Aptos"/>
          <w:b w:val="0"/>
          <w:sz w:val="21"/>
        </w:rPr>
        <w:t>You identify informed consent, withdrawal, anonymity, ethical approval and the need to justify changing meal schedules. The participant information sheet also explains possible fatigue and mood changes and excludes people with relevant health concerns. You should also specify retention, access and secure storage. Because eating schedules can interact with health conditions and medication, the risk assessment and exclusion criteria need a more explicit evidence-based rationale.</w:t>
      </w:r>
    </w:p>
    <w:p>
      <w:pPr>
        <w:pStyle w:val="Heading1"/>
        <w:spacing w:before="140" w:after="40"/>
      </w:pPr>
      <w:r>
        <w:rPr>
          <w:rFonts w:ascii="Aptos Display" w:hAnsi="Aptos Display"/>
          <w:b/>
          <w:color w:val="1F4E79"/>
          <w:sz w:val="24"/>
        </w:rPr>
        <w:t>Criticality — 37%</w:t>
      </w:r>
    </w:p>
    <w:p>
      <w:pPr>
        <w:spacing w:after="100" w:line="252" w:lineRule="auto"/>
      </w:pPr>
      <w:r>
        <w:rPr>
          <w:rFonts w:ascii="Aptos" w:hAnsi="Aptos"/>
          <w:b w:val="0"/>
          <w:sz w:val="21"/>
        </w:rPr>
        <w:t>The proposal contains some reflective points, particularly around individual differences, self-report bias and life stressors that could affect wellbeing. However, most of the literature review is descriptive and the limitations are listed rather than evaluated in terms of what they do to causal or measurement inference. The proposal also needs to distinguish sex-related hypotheses from gendered dietary behaviour more carefully. Stronger criticality would compare the quality and relevance of the cited studies, explain alternative mechanisms and show how the design or analysis can address the most important confounds.</w:t>
      </w:r>
    </w:p>
    <w:p>
      <w:pPr>
        <w:pStyle w:val="Heading1"/>
        <w:spacing w:before="140" w:after="40"/>
      </w:pPr>
      <w:r>
        <w:rPr>
          <w:rFonts w:ascii="Aptos Display" w:hAnsi="Aptos Display"/>
          <w:b/>
          <w:color w:val="1F4E79"/>
          <w:sz w:val="24"/>
        </w:rPr>
        <w:t>Academic Integrity — 47%</w:t>
      </w:r>
    </w:p>
    <w:p>
      <w:pPr>
        <w:spacing w:after="100" w:line="252" w:lineRule="auto"/>
      </w:pPr>
      <w:r>
        <w:rPr>
          <w:rFonts w:ascii="Aptos" w:hAnsi="Aptos"/>
          <w:b w:val="0"/>
          <w:sz w:val="21"/>
        </w:rPr>
        <w:t>You cite most substantive claims and provide a reference list, but there are several signs that the scholarly presentation needs tighter checking. Citation years and author spellings are not always consistent between the text and references, and some entries are presented in non-APA forms. Academic integrity here is primarily about traceability and transparent distinction between evidence, illustration and prediction. A careful final citation–reference cross-check and consistent APA formatting would improve this criterion, as would removing statements that imply the simulated results have evidential relevance to the proposed study.</w:t>
      </w:r>
    </w:p>
    <w:p>
      <w:pPr>
        <w:pStyle w:val="Heading1"/>
        <w:spacing w:before="140" w:after="40"/>
      </w:pPr>
      <w:r>
        <w:rPr>
          <w:rFonts w:ascii="Aptos Display" w:hAnsi="Aptos Display"/>
          <w:b/>
          <w:color w:val="1F4E79"/>
          <w:sz w:val="24"/>
        </w:rPr>
        <w:t>Use of Relevant Sources — 53%</w:t>
      </w:r>
    </w:p>
    <w:p>
      <w:pPr>
        <w:spacing w:after="100" w:line="252" w:lineRule="auto"/>
      </w:pPr>
      <w:r>
        <w:rPr>
          <w:rFonts w:ascii="Aptos" w:hAnsi="Aptos"/>
          <w:b w:val="0"/>
          <w:sz w:val="21"/>
        </w:rPr>
        <w:t>You draw on a reasonable range of material covering eating behaviour, wellbeing, circadian biology, sex differences and recruitment. Several recent sources are included. The proposal also needs stronger methodological sources for the WHO-5, intervention adherence, repeated-measures analysis and the biological mechanism being claimed. Focus on fewer, directly relevant studies and compare their designs and outcomes rather than using a wider set of citations primarily to establish that diet, circadian processes and wellbeing are related in general.</w:t>
      </w:r>
    </w:p>
    <w:p>
      <w:pPr>
        <w:pStyle w:val="Heading1"/>
        <w:spacing w:before="140" w:after="40"/>
      </w:pPr>
      <w:r>
        <w:rPr>
          <w:rFonts w:ascii="Aptos Display" w:hAnsi="Aptos Display"/>
          <w:b/>
          <w:color w:val="1F4E79"/>
          <w:sz w:val="24"/>
        </w:rPr>
        <w:t>Structure and Presentation — 53%</w:t>
      </w:r>
    </w:p>
    <w:p>
      <w:pPr>
        <w:spacing w:after="100" w:line="252" w:lineRule="auto"/>
      </w:pPr>
      <w:r>
        <w:rPr>
          <w:rFonts w:ascii="Aptos" w:hAnsi="Aptos"/>
          <w:b w:val="0"/>
          <w:sz w:val="21"/>
        </w:rPr>
        <w:t>The submission has the main expected sections, participant materials, appendices and a clear 26-week timeline. The overall sequence is understandable. The document would also benefit from consistent terminology for condition labels and from proofreading phrases such as “qualitative data analysis” in a clearly quantitative study. A more economical presentation would create room for the methodological detail that is currently missing.</w:t>
      </w:r>
    </w:p>
    <w:p>
      <w:pPr>
        <w:pStyle w:val="Heading1"/>
        <w:spacing w:before="140" w:after="40"/>
      </w:pPr>
      <w:r>
        <w:rPr>
          <w:rFonts w:ascii="Aptos Display" w:hAnsi="Aptos Display"/>
          <w:b/>
          <w:color w:val="1F4E79"/>
          <w:sz w:val="24"/>
        </w:rPr>
        <w:t>Overall grade — 43%</w:t>
      </w:r>
    </w:p>
    <w:p>
      <w:pPr>
        <w:spacing w:after="100" w:line="252" w:lineRule="auto"/>
      </w:pPr>
      <w:r>
        <w:rPr>
          <w:rFonts w:ascii="Aptos" w:hAnsi="Aptos"/>
          <w:b w:val="0"/>
          <w:sz w:val="21"/>
        </w:rPr>
        <w:t>The proposal has a relevant practical topic and you have made a genuine effort to connect meal timing with circadian and gut–brain processes. At present, however, the measured study is primarily behavioural and psychological rather than psychobiological, and the experimental design contains important inconsistencies. Strengthening the evidence base and data-governance plan would then support the revised design. These are substantial changes, but they would give the study a much clearer scientific and methodological foundation.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Psychobiology &amp; Neuroscience | Research Proposal Feedback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