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Participant_565726_assignsubmission_file</w:t>
      </w:r>
    </w:p>
    <w:p>
      <w:pPr>
        <w:spacing w:after="120"/>
      </w:pPr>
      <w:r>
        <w:rPr>
          <w:rFonts w:ascii="Aptos" w:hAnsi="Aptos"/>
          <w:b/>
          <w:sz w:val="21"/>
        </w:rPr>
        <w:t>Viveyan Binyam</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use the neurovisceral integration model carefully, explicitly treating resting HRV as an indirect peripheral marker rather than a direct measure of neural activity.</w:t>
      </w:r>
    </w:p>
    <w:p>
      <w:pPr>
        <w:pStyle w:val="ListBullet"/>
        <w:spacing w:after="40"/>
        <w:ind w:left="317" w:hanging="173"/>
      </w:pPr>
      <w:r>
        <w:rPr>
          <w:rFonts w:ascii="Aptos" w:hAnsi="Aptos"/>
          <w:sz w:val="21"/>
        </w:rPr>
        <w:t>Your cognitive-load manipulation, signal-detection outcomes and mixed-effects analysis form a tightly aligned test of the HRV × load hypothesis.</w:t>
      </w:r>
    </w:p>
    <w:p>
      <w:pPr>
        <w:pStyle w:val="ListBullet"/>
        <w:spacing w:after="40"/>
        <w:ind w:left="317" w:hanging="173"/>
      </w:pPr>
      <w:r>
        <w:rPr>
          <w:rFonts w:ascii="Aptos" w:hAnsi="Aptos"/>
          <w:sz w:val="21"/>
        </w:rPr>
        <w:t>Your limitations are unusually specific, including SART impurity, respiratory and behavioural influences on HRV, WEIRD sampling and limits on real-world inference.</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Complete the a priori or simulation-based power analysis for the HRV × cognitive-load interaction rather than retaining 80 as a feasibility benchmark.</w:t>
      </w:r>
    </w:p>
    <w:p>
      <w:pPr>
        <w:pStyle w:val="ListBullet"/>
        <w:spacing w:after="40"/>
        <w:ind w:left="317" w:hanging="173"/>
      </w:pPr>
      <w:r>
        <w:rPr>
          <w:rFonts w:ascii="Aptos" w:hAnsi="Aptos"/>
          <w:sz w:val="21"/>
        </w:rPr>
        <w:t>Confirm realistic access to the research-grade ECG setup and the technical support needed for preprocessing before treating implementation as settled.</w:t>
      </w:r>
    </w:p>
    <w:p>
      <w:pPr>
        <w:pStyle w:val="ListBullet"/>
        <w:spacing w:after="40"/>
        <w:ind w:left="317" w:hanging="173"/>
      </w:pPr>
      <w:r>
        <w:rPr>
          <w:rFonts w:ascii="Aptos" w:hAnsi="Aptos"/>
          <w:sz w:val="21"/>
        </w:rPr>
        <w:t>Prespecify the handling of missing task data, failed physiological recordings and convergence problems in the mixed-effects model.</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understanding of the psychobiological question. The neurovisceral integration model is used as a testable framework rather than as proof that HRV directly measures prefrontal function, and you explicitly state that resting HRV is a peripheral marker of regulatory capacity. Particularly strong is your distinction between a causal effect of the experimentally manipulated load and the correlational status of the measured HRV predictor. That distinction shows mature understanding of what the design can and cannot establish.</w:t>
      </w:r>
    </w:p>
    <w:p>
      <w:pPr>
        <w:pStyle w:val="Heading1"/>
        <w:spacing w:before="140" w:after="40"/>
      </w:pPr>
      <w:r>
        <w:rPr>
          <w:rFonts w:ascii="Aptos Display" w:hAnsi="Aptos Display"/>
          <w:b/>
          <w:color w:val="1F4E79"/>
          <w:sz w:val="24"/>
        </w:rPr>
        <w:t>Research Methodology and Appropriate Implementation — 70%</w:t>
      </w:r>
    </w:p>
    <w:p>
      <w:pPr>
        <w:spacing w:after="100" w:line="252" w:lineRule="auto"/>
      </w:pPr>
      <w:r>
        <w:rPr>
          <w:rFonts w:ascii="Aptos" w:hAnsi="Aptos"/>
          <w:b w:val="0"/>
          <w:sz w:val="21"/>
        </w:rPr>
        <w:t>The methodological alignment is very strong. The SART and concurrent digit-memory task create two load conditions, memory accuracy provides a manipulation check, and d′ and criterion c separate sensitivity from response strategy. You correctly recognise that interaction effects need more power, but 80 remains a feasibility benchmark rather than a completed calculation. A simulation-based power analysis using the planned mixed model would make the design substantially stronger and could inform whether the recruitment target is realistic.</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The ethics section is clear and study-specific. You identify mild cognitive fatigue and electrode discomfort, voluntary withdrawal, pseudonymisation, separation of identifying information and the point at which anonymisation prevents further withdrawal. It would also be useful to state the exact retention period and who will have access to the linking key. These are refinements to an otherwise strong ethical and data-governance plan.</w:t>
      </w:r>
    </w:p>
    <w:p>
      <w:pPr>
        <w:pStyle w:val="Heading1"/>
        <w:spacing w:before="140" w:after="40"/>
      </w:pPr>
      <w:r>
        <w:rPr>
          <w:rFonts w:ascii="Aptos Display" w:hAnsi="Aptos Display"/>
          <w:b/>
          <w:color w:val="1F4E79"/>
          <w:sz w:val="24"/>
        </w:rPr>
        <w:t>Criticality — 76%</w:t>
      </w:r>
    </w:p>
    <w:p>
      <w:pPr>
        <w:spacing w:after="100" w:line="252" w:lineRule="auto"/>
      </w:pPr>
      <w:r>
        <w:rPr>
          <w:rFonts w:ascii="Aptos" w:hAnsi="Aptos"/>
          <w:b w:val="0"/>
          <w:sz w:val="21"/>
        </w:rPr>
        <w:t>Criticality is excellent. You challenge a simple causal reading of the HRV–cognition association, cite evidence that HRV biofeedback does not automatically improve inhibition, and recognise that SART performance includes sustained attention as well as response inhibition. This is strong because each limitation is tied to the claim it constrains. A further improvement would be to consider potential practice or fatigue effects across the two load conditions and explain how counterbalancing and the mixed model will address them.</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Your empirical and methodological claims are consistently attributed, and the reference list provides a clear trail from neurovisceral theory to HRV methodology, signal-detection correction and task design. You distinguish theory, evidence and your own prediction carefully, especially when discussing what a significant HRV × load interaction would mean. APA presentation is generally strong. Continue to maintain this evidential discipline in the final report by clearly distinguishing confirmatory from secondary analyses and documenting any preprocessing or model decisions that are changed after data inspection.</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source base is high quality and well integrated. You combine foundational neurovisceral theory, recent HRV–cognition evidence, a randomised HRV-biofeedback study, task-specific work on SART response criterion, methodological guidance for HRV and signal-detection correction, and sampling-bias literature. This is exactly the kind of reading expected at postgraduate level. The main addition needed is not more topic literature but a source supporting power analysis for mixed-effects interactions or a simulation framework, so that the final recruitment target is derived from the model you actually intend to fit.</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is very well structured and economical. It progresses cleanly from theory and evidence to the research question, operationalisation, mixed design, analysis, ethics, limitations and a realistic 16-week timeline. The main presentation improvement is to make the remaining provisional element—the sample-size decision—look less like an unresolved note by completing it before final submission. Otherwise, the document is professional and readable, and the level of methodological detail is well judged for the word limit.</w:t>
      </w:r>
    </w:p>
    <w:p>
      <w:pPr>
        <w:pStyle w:val="Heading1"/>
        <w:spacing w:before="140" w:after="40"/>
      </w:pPr>
      <w:r>
        <w:rPr>
          <w:rFonts w:ascii="Aptos Display" w:hAnsi="Aptos Display"/>
          <w:b/>
          <w:color w:val="1F4E79"/>
          <w:sz w:val="24"/>
        </w:rPr>
        <w:t>Overall grade — 75%</w:t>
      </w:r>
    </w:p>
    <w:p>
      <w:pPr>
        <w:spacing w:after="100" w:line="252" w:lineRule="auto"/>
      </w:pPr>
      <w:r>
        <w:rPr>
          <w:rFonts w:ascii="Aptos" w:hAnsi="Aptos"/>
          <w:b w:val="0"/>
          <w:sz w:val="21"/>
        </w:rPr>
        <w:t>This is a highly coherent proposal with excellent alignment between theory, measurement and analysis. Your strongest achievement is the way you keep the causal claims proportionate: cognitive load is manipulated, whereas HRV is measured and interpreted as an indirect physiological marker. The principal task before implementation is to complete a power analysis for the HRV × load interaction and confirm that the planned ECG setup is realistically available. With those practical decisions fixed, the project would provide a rigorous and appropriately cautious test of a well-defined psychobiological hypothesis.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