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Participant_565729_assignsubmission_file</w:t>
      </w:r>
    </w:p>
    <w:p>
      <w:pPr>
        <w:spacing w:after="120"/>
      </w:pPr>
      <w:r>
        <w:rPr>
          <w:rFonts w:ascii="Aptos" w:hAnsi="Aptos"/>
          <w:b/>
          <w:sz w:val="21"/>
        </w:rPr>
        <w:t>Aleksandra Małecka Urban</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integrate cardiac interoception, dimensional ADHD traits and regulatory flexibility into a clear and original individual-differences question.</w:t>
      </w:r>
    </w:p>
    <w:p>
      <w:pPr>
        <w:pStyle w:val="ListBullet"/>
        <w:spacing w:after="40"/>
        <w:ind w:left="317" w:hanging="173"/>
      </w:pPr>
      <w:r>
        <w:rPr>
          <w:rFonts w:ascii="Aptos" w:hAnsi="Aptos"/>
          <w:sz w:val="21"/>
        </w:rPr>
        <w:t>You justify the S-HDT, FREE and ASRS measures carefully and plan separate regression models that match the two expressive-flexibility outcomes.</w:t>
      </w:r>
    </w:p>
    <w:p>
      <w:pPr>
        <w:pStyle w:val="ListBullet"/>
        <w:spacing w:after="40"/>
        <w:ind w:left="317" w:hanging="173"/>
      </w:pPr>
      <w:r>
        <w:rPr>
          <w:rFonts w:ascii="Aptos" w:hAnsi="Aptos"/>
          <w:sz w:val="21"/>
        </w:rPr>
        <w:t>Your ethics and limitations directly address self-diagnosis, ECG discomfort, differential task exclusion and the newness of the S-HDT.</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Clarify how feasible it is to recruit 140 participants and run the ECG/S-HDT protocol within the MSc setting, including equipment and laboratory access.</w:t>
      </w:r>
    </w:p>
    <w:p>
      <w:pPr>
        <w:pStyle w:val="ListBullet"/>
        <w:spacing w:after="40"/>
        <w:ind w:left="317" w:hanging="173"/>
      </w:pPr>
      <w:r>
        <w:rPr>
          <w:rFonts w:ascii="Aptos" w:hAnsi="Aptos"/>
          <w:sz w:val="21"/>
        </w:rPr>
        <w:t>Predefine how you will examine whether S-HDT exclusions are systematically related to ADHD traits, because differential exclusion could bias the regression estimates.</w:t>
      </w:r>
    </w:p>
    <w:p>
      <w:pPr>
        <w:pStyle w:val="ListBullet"/>
        <w:spacing w:after="40"/>
        <w:ind w:left="317" w:hanging="173"/>
      </w:pPr>
      <w:r>
        <w:rPr>
          <w:rFonts w:ascii="Aptos" w:hAnsi="Aptos"/>
          <w:sz w:val="21"/>
        </w:rPr>
        <w:t>Proofread the final document carefully for language, terminology and formatting so that the presentation matches the quality of the scientific reasoning.</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psychobiological understanding. The proposal distinguishes interoceptive accuracy from interoceptive sensibility, links cardiac interoceptive processing to insular and anterior cingulate systems, and uses Regulatory Flexibility Theory to explain why bodily-state information might contribute to adaptive expressive control. The hypotheses are appropriately directional and map cleanly onto the predictors and outcomes. Good work here.</w:t>
      </w:r>
    </w:p>
    <w:p>
      <w:pPr>
        <w:pStyle w:val="Heading1"/>
        <w:spacing w:before="140" w:after="40"/>
      </w:pPr>
      <w:r>
        <w:rPr>
          <w:rFonts w:ascii="Aptos Display" w:hAnsi="Aptos Display"/>
          <w:b/>
          <w:color w:val="1F4E79"/>
          <w:sz w:val="24"/>
        </w:rPr>
        <w:t>Research Methodology and Appropriate Implementation — 76%</w:t>
      </w:r>
    </w:p>
    <w:p>
      <w:pPr>
        <w:spacing w:after="100" w:line="252" w:lineRule="auto"/>
      </w:pPr>
      <w:r>
        <w:rPr>
          <w:rFonts w:ascii="Aptos" w:hAnsi="Aptos"/>
          <w:b w:val="0"/>
          <w:sz w:val="21"/>
        </w:rPr>
        <w:t>The design is technically strong. Cardiac interoceptive accuracy is measured with the S-HDT and ECG, ADHD traits with the full ASRS-v1.1, and enhancement and suppression are analysed as separate FREE outcomes. Recruiting 140 participants for a laboratory ECG protocol and administering a relatively new adaptive task is demanding. The proposal should explicitly confirm access to equipment, software, testing space and technical support, and show that the recruitment timeline can accommodate likely attrition and exclusions.</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The ethics section is strong and specific. You explain consent, pseudonymisation, withdrawal before full anonymisation, secure storage and the non-diagnostic status of the ASRS. One additional point worth making explicit is how participants excluded by the S-HDT data-quality algorithm will be handled and whether they will be told anything about those classifications; such outputs should not be presented as indicators of personal interoceptive deficit. This would preserve the same careful non-diagnostic framing you already apply to ADHD traits.</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Your critical analysis is excellent. You acknowledge inconsistent objective versus self-report interoception findings, the limited literature connecting interoception and emotion regulation, the newness and limited independent validation of the S-HDT, and the possibility that its exclusion rules could create selection bias if exclusions correlate with ADHD traits. A useful next step would be to state how you will test or at least describe differential exclusion by ADHD score and whether sensitivity analyses will compare results under alternative data-quality decisions. That would turn an insightful limitation into a concrete robustness plan.</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Your empirical claims are well attributed and the sources correspond closely to the constructs and measures you use. The proposal clearly separates established evidence, theoretical interpretation and exploratory analysis. The main issue is presentation rather than integrity: there are a number of typographical errors and awkward phrases, including repeated misspelling of “interoception” in places, which can make technically accurate points harder to read. A careful final proofread would help the scholarly presentation reflect the high quality of the underlying reasoning.</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reading is broad, current and purposefully selected. Foundational work on interoceptive constructs is combined with recent ADHD systematic-review evidence, emotion-regulation theory, psychometric sources for the ASRS and FREE, and the 2026 S-HDT validation study. The use of the S-HDT source to estimate attrition is particularly effective. Future work could strengthen the evidence base further with independent replications of the S-HDT as they emerge, but at present you appropriately acknowledge that such evidence is limited rather than overstating the measure's maturity.</w:t>
      </w:r>
    </w:p>
    <w:p>
      <w:pPr>
        <w:pStyle w:val="Heading1"/>
        <w:spacing w:before="140" w:after="40"/>
      </w:pPr>
      <w:r>
        <w:rPr>
          <w:rFonts w:ascii="Aptos Display" w:hAnsi="Aptos Display"/>
          <w:b/>
          <w:color w:val="1F4E79"/>
          <w:sz w:val="24"/>
        </w:rPr>
        <w:t>Structure and Presentation — 61%</w:t>
      </w:r>
    </w:p>
    <w:p>
      <w:pPr>
        <w:spacing w:after="100" w:line="252" w:lineRule="auto"/>
      </w:pPr>
      <w:r>
        <w:rPr>
          <w:rFonts w:ascii="Aptos" w:hAnsi="Aptos"/>
          <w:b w:val="0"/>
          <w:sz w:val="21"/>
        </w:rPr>
        <w:t>The proposal is logically structured and includes a clear timeline, participant information, consent, debrief materials and detailed measure appendices. The sequence from theory to gap, hypotheses, design and limitations is easy to follow. Tightening the language and standardising headings and measure names would improve professionalism without changing the content. The declared word count remains within the permitted threshold.</w:t>
      </w:r>
    </w:p>
    <w:p>
      <w:pPr>
        <w:pStyle w:val="Heading1"/>
        <w:spacing w:before="140" w:after="40"/>
      </w:pPr>
      <w:r>
        <w:rPr>
          <w:rFonts w:ascii="Aptos Display" w:hAnsi="Aptos Display"/>
          <w:b/>
          <w:color w:val="1F4E79"/>
          <w:sz w:val="24"/>
        </w:rPr>
        <w:t>Overall grade — 74%</w:t>
      </w:r>
    </w:p>
    <w:p>
      <w:pPr>
        <w:spacing w:after="100" w:line="252" w:lineRule="auto"/>
      </w:pPr>
      <w:r>
        <w:rPr>
          <w:rFonts w:ascii="Aptos" w:hAnsi="Aptos"/>
          <w:b w:val="0"/>
          <w:sz w:val="21"/>
        </w:rPr>
        <w:t>This is a very strong and original proposal. You combine a genuinely physiological measure with dimensional psychological predictors and a theoretically meaningful outcome, while remaining cautious about what the new S-HDT can establish. Your main priorities are practical: demonstrate that the recruitment and ECG/S-HDT workload is feasible, predefine how differential task exclusions will be examined, and polish the written presentation. Those changes would make the document not only scientifically strong but also more clearly executable and professionally finished.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