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F4E79"/>
          <w:sz w:val="30"/>
        </w:rPr>
        <w:t>Participant_565730_assignsubmission_file</w:t>
      </w:r>
    </w:p>
    <w:p>
      <w:pPr>
        <w:spacing w:after="120"/>
      </w:pPr>
      <w:r>
        <w:rPr>
          <w:rFonts w:ascii="Aptos" w:hAnsi="Aptos"/>
          <w:b/>
          <w:sz w:val="21"/>
        </w:rPr>
        <w:t>Anfisa Rekina</w:t>
      </w:r>
    </w:p>
    <w:p>
      <w:pPr>
        <w:pStyle w:val="Heading1"/>
        <w:spacing w:before="140" w:after="40"/>
      </w:pPr>
      <w:r>
        <w:rPr>
          <w:rFonts w:ascii="Aptos Display" w:hAnsi="Aptos Display"/>
          <w:b/>
          <w:color w:val="1F4E79"/>
          <w:sz w:val="24"/>
        </w:rPr>
        <w:t>Strengths</w:t>
      </w:r>
    </w:p>
    <w:p>
      <w:pPr>
        <w:pStyle w:val="ListBullet"/>
        <w:spacing w:after="40"/>
        <w:ind w:left="317" w:hanging="173"/>
      </w:pPr>
      <w:r>
        <w:rPr>
          <w:rFonts w:ascii="Aptos" w:hAnsi="Aptos"/>
          <w:sz w:val="21"/>
        </w:rPr>
        <w:t>You integrate erectile physiology, sexual-script theory and communication quality into a well-bounded moderation question rather than reducing sexual wellbeing to erectile function alone.</w:t>
      </w:r>
    </w:p>
    <w:p>
      <w:pPr>
        <w:pStyle w:val="ListBullet"/>
        <w:spacing w:after="40"/>
        <w:ind w:left="317" w:hanging="173"/>
      </w:pPr>
      <w:r>
        <w:rPr>
          <w:rFonts w:ascii="Aptos" w:hAnsi="Aptos"/>
          <w:sz w:val="21"/>
        </w:rPr>
        <w:t>Your choice of EHS, DSC and GMSEX keeps the predictor, moderator and outcome conceptually distinct and supports a clear regression model.</w:t>
      </w:r>
    </w:p>
    <w:p>
      <w:pPr>
        <w:pStyle w:val="ListBullet"/>
        <w:spacing w:after="40"/>
        <w:ind w:left="317" w:hanging="173"/>
      </w:pPr>
      <w:r>
        <w:rPr>
          <w:rFonts w:ascii="Aptos" w:hAnsi="Aptos"/>
          <w:sz w:val="21"/>
        </w:rPr>
        <w:t>Your ethics section is unusually sensitive to trauma, stigma, voluntariness, online privacy and the role of veteran organisations in recruitment.</w:t>
      </w:r>
    </w:p>
    <w:p>
      <w:pPr>
        <w:pStyle w:val="Heading1"/>
        <w:spacing w:before="140" w:after="40"/>
      </w:pPr>
      <w:r>
        <w:rPr>
          <w:rFonts w:ascii="Aptos Display" w:hAnsi="Aptos Display"/>
          <w:b/>
          <w:color w:val="1F4E79"/>
          <w:sz w:val="24"/>
        </w:rPr>
        <w:t>Areas for Improvement</w:t>
      </w:r>
    </w:p>
    <w:p>
      <w:pPr>
        <w:pStyle w:val="ListBullet"/>
        <w:spacing w:after="40"/>
        <w:ind w:left="317" w:hanging="173"/>
      </w:pPr>
      <w:r>
        <w:rPr>
          <w:rFonts w:ascii="Aptos" w:hAnsi="Aptos"/>
          <w:sz w:val="21"/>
        </w:rPr>
        <w:t>Demonstrate that recruitment of approximately 160 partnered male veterans in Armenia, plus translation and pilot testing, is realistic within the project timetable.</w:t>
      </w:r>
    </w:p>
    <w:p>
      <w:pPr>
        <w:pStyle w:val="ListBullet"/>
        <w:spacing w:after="40"/>
        <w:ind w:left="317" w:hanging="173"/>
      </w:pPr>
      <w:r>
        <w:rPr>
          <w:rFonts w:ascii="Aptos" w:hAnsi="Aptos"/>
          <w:sz w:val="21"/>
        </w:rPr>
        <w:t>Clarify which health, medication or service-related confounds will be measured or deliberately left unmeasured, and explain the inferential consequences of that choice.</w:t>
      </w:r>
    </w:p>
    <w:p>
      <w:pPr>
        <w:pStyle w:val="ListBullet"/>
        <w:spacing w:after="40"/>
        <w:ind w:left="317" w:hanging="173"/>
      </w:pPr>
      <w:r>
        <w:rPr>
          <w:rFonts w:ascii="Aptos" w:hAnsi="Aptos"/>
          <w:sz w:val="21"/>
        </w:rPr>
        <w:t>Finalise the common recall period and any translated versions of the measures before data collection so the protocol is fully specified.</w:t>
      </w:r>
    </w:p>
    <w:p>
      <w:pPr>
        <w:pStyle w:val="Heading1"/>
        <w:spacing w:before="140" w:after="40"/>
      </w:pPr>
      <w:r>
        <w:rPr>
          <w:rFonts w:ascii="Aptos Display" w:hAnsi="Aptos Display"/>
          <w:b/>
          <w:color w:val="1F4E79"/>
          <w:sz w:val="24"/>
        </w:rPr>
        <w:t>Knowledge and Understanding of the Topic / Issues — 76%</w:t>
      </w:r>
    </w:p>
    <w:p>
      <w:pPr>
        <w:spacing w:after="100" w:line="252" w:lineRule="auto"/>
      </w:pPr>
      <w:r>
        <w:rPr>
          <w:rFonts w:ascii="Aptos" w:hAnsi="Aptos"/>
          <w:b w:val="0"/>
          <w:sz w:val="21"/>
        </w:rPr>
        <w:t>You demonstrate excellent understanding of both the physiological and psychosocial sides of the problem. Erectile response is correctly described as involving vascular, neurological, hormonal, autonomic and psychological processes, while Sexual Script Theory explains why the subjective meaning of erectile difficulty may vary across relationships. The veteran context is justified without treating military identity or trauma as universal. Your research question and directional moderation hypothesis emerge naturally from the literature and are appropriately framed as an association rather than a causal protective mechanism.</w:t>
      </w:r>
    </w:p>
    <w:p>
      <w:pPr>
        <w:pStyle w:val="Heading1"/>
        <w:spacing w:before="140" w:after="40"/>
      </w:pPr>
      <w:r>
        <w:rPr>
          <w:rFonts w:ascii="Aptos Display" w:hAnsi="Aptos Display"/>
          <w:b/>
          <w:color w:val="1F4E79"/>
          <w:sz w:val="24"/>
        </w:rPr>
        <w:t>Research Methodology and Appropriate Implementation — 70%</w:t>
      </w:r>
    </w:p>
    <w:p>
      <w:pPr>
        <w:spacing w:after="100" w:line="252" w:lineRule="auto"/>
      </w:pPr>
      <w:r>
        <w:rPr>
          <w:rFonts w:ascii="Aptos" w:hAnsi="Aptos"/>
          <w:b w:val="0"/>
          <w:sz w:val="21"/>
        </w:rPr>
        <w:t>The cross-sectional moderation design is well aligned with the question. EHS, the six-item Dyadic Sexual Communication Scale and GMSEX are clearly operationalised, and the proposed regression includes the two continuous main effects and their interaction, followed by simple slopes. These are not minor details: they affect measurement equivalence, recruitment duration and whether the final sample can meet the power target. Resolve them before the study is treated as fully feasible.</w:t>
      </w:r>
    </w:p>
    <w:p>
      <w:pPr>
        <w:pStyle w:val="Heading1"/>
        <w:spacing w:before="140" w:after="40"/>
      </w:pPr>
      <w:r>
        <w:rPr>
          <w:rFonts w:ascii="Aptos Display" w:hAnsi="Aptos Display"/>
          <w:b/>
          <w:color w:val="1F4E79"/>
          <w:sz w:val="24"/>
        </w:rPr>
        <w:t>Ethical Considerations — 76%</w:t>
      </w:r>
    </w:p>
    <w:p>
      <w:pPr>
        <w:spacing w:after="100" w:line="252" w:lineRule="auto"/>
      </w:pPr>
      <w:r>
        <w:rPr>
          <w:rFonts w:ascii="Aptos" w:hAnsi="Aptos"/>
          <w:b w:val="0"/>
          <w:sz w:val="21"/>
        </w:rPr>
        <w:t>This is an excellent ethics section for a sensitive topic. You identify sexual functioning, intimate relationships and possible trauma as areas requiring careful consent and risk management, while explicitly avoiding the assumption that veteran status itself means vulnerability. One point to clarify is how anonymity interacts with withdrawal after survey submission, and whether any IP, platform metadata or contact information will be collected. State this explicitly so participants understand the practical limits of withdrawal in an anonymous online design.</w:t>
      </w:r>
    </w:p>
    <w:p>
      <w:pPr>
        <w:pStyle w:val="Heading1"/>
        <w:spacing w:before="140" w:after="40"/>
      </w:pPr>
      <w:r>
        <w:rPr>
          <w:rFonts w:ascii="Aptos Display" w:hAnsi="Aptos Display"/>
          <w:b/>
          <w:color w:val="1F4E79"/>
          <w:sz w:val="24"/>
        </w:rPr>
        <w:t>Criticality — 76%</w:t>
      </w:r>
    </w:p>
    <w:p>
      <w:pPr>
        <w:spacing w:after="100" w:line="252" w:lineRule="auto"/>
      </w:pPr>
      <w:r>
        <w:rPr>
          <w:rFonts w:ascii="Aptos" w:hAnsi="Aptos"/>
          <w:b w:val="0"/>
          <w:sz w:val="21"/>
        </w:rPr>
        <w:t>Your criticality is consistently strong. You challenge penetration-centred definitions of successful sex, distinguish a self-reported EHS score from a direct physiological record, recognise reverse causation between satisfaction and communication, and acknowledge that communication is dyadic even though only one partner is measured. Veteran sexual functioning can be influenced by medication, injury, chronic disease and PTSD symptoms, yet you deliberately minimise collection of health information for sensitivity reasons. Explain how that ethical choice limits adjustment and therefore the interpretation of the moderation result.</w:t>
      </w:r>
    </w:p>
    <w:p>
      <w:pPr>
        <w:pStyle w:val="Heading1"/>
        <w:spacing w:before="140" w:after="40"/>
      </w:pPr>
      <w:r>
        <w:rPr>
          <w:rFonts w:ascii="Aptos Display" w:hAnsi="Aptos Display"/>
          <w:b/>
          <w:color w:val="1F4E79"/>
          <w:sz w:val="24"/>
        </w:rPr>
        <w:t>Academic Integrity — 76%</w:t>
      </w:r>
    </w:p>
    <w:p>
      <w:pPr>
        <w:spacing w:after="100" w:line="252" w:lineRule="auto"/>
      </w:pPr>
      <w:r>
        <w:rPr>
          <w:rFonts w:ascii="Aptos" w:hAnsi="Aptos"/>
          <w:b w:val="0"/>
          <w:sz w:val="21"/>
        </w:rPr>
        <w:t>The proposal is evidentially transparent and consistently referenced. The sources are used to distinguish what is established from what is hypothesised, and you explicitly qualify transfer from queer relationship research rather than assuming equivalence with heterosexual veterans experiencing erectile difficulty. APA presentation is generally strong and the argument remains traceable through the reference list. Continue to check translated or locally adapted measures carefully: if wording is modified, document the source version, translation process and any permission or validation status so that later readers can distinguish the validated instrument from the adapted study materials.</w:t>
      </w:r>
    </w:p>
    <w:p>
      <w:pPr>
        <w:pStyle w:val="Heading1"/>
        <w:spacing w:before="140" w:after="40"/>
      </w:pPr>
      <w:r>
        <w:rPr>
          <w:rFonts w:ascii="Aptos Display" w:hAnsi="Aptos Display"/>
          <w:b/>
          <w:color w:val="1F4E79"/>
          <w:sz w:val="24"/>
        </w:rPr>
        <w:t>Use of Relevant Sources — 76%</w:t>
      </w:r>
    </w:p>
    <w:p>
      <w:pPr>
        <w:spacing w:after="100" w:line="252" w:lineRule="auto"/>
      </w:pPr>
      <w:r>
        <w:rPr>
          <w:rFonts w:ascii="Aptos" w:hAnsi="Aptos"/>
          <w:b w:val="0"/>
          <w:sz w:val="21"/>
        </w:rPr>
        <w:t>The source base is extensive, current and impressively integrated across psychobiology, sex research, relationship science, military psychology and research ethics. Meta-analytic evidence on sexual communication is used alongside physiological and veteran-specific work, and the measures are supported by validation sources. The next improvement is not simply adding more sources, but ensuring that the Armenian context is supported with the best available local or regional evidence and that any translated instruments are backed by validation work where possible. That would connect the otherwise strong international literature to the population you actually plan to recruit.</w:t>
      </w:r>
    </w:p>
    <w:p>
      <w:pPr>
        <w:pStyle w:val="Heading1"/>
        <w:spacing w:before="140" w:after="40"/>
      </w:pPr>
      <w:r>
        <w:rPr>
          <w:rFonts w:ascii="Aptos Display" w:hAnsi="Aptos Display"/>
          <w:b/>
          <w:color w:val="1F4E79"/>
          <w:sz w:val="24"/>
        </w:rPr>
        <w:t>Structure and Presentation — 76%</w:t>
      </w:r>
    </w:p>
    <w:p>
      <w:pPr>
        <w:spacing w:after="100" w:line="252" w:lineRule="auto"/>
      </w:pPr>
      <w:r>
        <w:rPr>
          <w:rFonts w:ascii="Aptos" w:hAnsi="Aptos"/>
          <w:b w:val="0"/>
          <w:sz w:val="21"/>
        </w:rPr>
        <w:t>The document is professionally structured and easy to follow despite the sensitive and conceptually complex topic. The research question, moderation hypothesis, measures, analysis, ethics, limitations and timeline are clearly separated, and the appendices make the measurement choices transparent. The main presentation issue is that several important protocol decisions are still described as future decisions, particularly the recall period and local-language measure versions. Incorporating those final choices would make the proposal read as a complete study protocol rather than a strong framework awaiting implementation details.</w:t>
      </w:r>
    </w:p>
    <w:p>
      <w:pPr>
        <w:pStyle w:val="Heading1"/>
        <w:spacing w:before="140" w:after="40"/>
      </w:pPr>
      <w:r>
        <w:rPr>
          <w:rFonts w:ascii="Aptos Display" w:hAnsi="Aptos Display"/>
          <w:b/>
          <w:color w:val="1F4E79"/>
          <w:sz w:val="24"/>
        </w:rPr>
        <w:t>Overall grade — 75%</w:t>
      </w:r>
    </w:p>
    <w:p>
      <w:pPr>
        <w:spacing w:after="100" w:line="252" w:lineRule="auto"/>
      </w:pPr>
      <w:r>
        <w:rPr>
          <w:rFonts w:ascii="Aptos" w:hAnsi="Aptos"/>
          <w:b w:val="0"/>
          <w:sz w:val="21"/>
        </w:rPr>
        <w:t>This is an excellent proposal with a sophisticated but disciplined integration of physiology, sexual meaning and relationship processes. You keep erectile hardness and sexual satisfaction conceptually separate, justify communication as a moderator and handle the veteran context with unusual ethical sensitivity. Finalise those implementation details and make the consequences of unmeasured health confounds explicit. With those refinements, the project would be both theoretically distinctive and methodologically strong.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Psychobiology &amp; Neuroscience | Research Proposal Feedback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