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Participant_565731_assignsubmission_file</w:t>
      </w:r>
    </w:p>
    <w:p>
      <w:pPr>
        <w:spacing w:after="120"/>
      </w:pPr>
      <w:r>
        <w:rPr>
          <w:rFonts w:ascii="Aptos" w:hAnsi="Aptos"/>
          <w:b/>
          <w:sz w:val="21"/>
        </w:rPr>
        <w:t>Jacklyn Hinkel</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present a clear gut–brain mechanism while correctly describing RMSSD as an indirect index of vagally mediated cardiac regulation rather than direct vagus-nerve activity.</w:t>
      </w:r>
    </w:p>
    <w:p>
      <w:pPr>
        <w:pStyle w:val="ListBullet"/>
        <w:spacing w:after="40"/>
        <w:ind w:left="317" w:hanging="173"/>
      </w:pPr>
      <w:r>
        <w:rPr>
          <w:rFonts w:ascii="Aptos" w:hAnsi="Aptos"/>
          <w:sz w:val="21"/>
        </w:rPr>
        <w:t>Your double-blind placebo-controlled design, repeated measures and H1–H3 analysis plan are closely aligned with the research question.</w:t>
      </w:r>
    </w:p>
    <w:p>
      <w:pPr>
        <w:pStyle w:val="ListBullet"/>
        <w:spacing w:after="40"/>
        <w:ind w:left="317" w:hanging="173"/>
      </w:pPr>
      <w:r>
        <w:rPr>
          <w:rFonts w:ascii="Aptos" w:hAnsi="Aptos"/>
          <w:sz w:val="21"/>
        </w:rPr>
        <w:t>You identify the PHQ-9 self-harm item and probiotic adverse effects as study-specific ethical issues and propose explicit safety procedures.</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Complete the power analysis and lock the final probiotic formulation, strains and CFU before presenting the trial as ready to implement.</w:t>
      </w:r>
    </w:p>
    <w:p>
      <w:pPr>
        <w:pStyle w:val="ListBullet"/>
        <w:spacing w:after="40"/>
        <w:ind w:left="317" w:hanging="173"/>
      </w:pPr>
      <w:r>
        <w:rPr>
          <w:rFonts w:ascii="Aptos" w:hAnsi="Aptos"/>
          <w:sz w:val="21"/>
        </w:rPr>
        <w:t>Strengthen the missing-data and interaction analysis plan so that intention-to-treat principles and dropout are handled consistently with the mixed design.</w:t>
      </w:r>
    </w:p>
    <w:p>
      <w:pPr>
        <w:pStyle w:val="ListBullet"/>
        <w:spacing w:after="40"/>
        <w:ind w:left="317" w:hanging="173"/>
      </w:pPr>
      <w:r>
        <w:rPr>
          <w:rFonts w:ascii="Aptos" w:hAnsi="Aptos"/>
          <w:sz w:val="21"/>
        </w:rPr>
        <w:t>Demonstrate that recruitment, supply, blinding, adherence monitoring and eight weeks of supplementation are realistic within the available MSc resources.</w:t>
      </w:r>
    </w:p>
    <w:p>
      <w:pPr>
        <w:pStyle w:val="Heading1"/>
        <w:spacing w:before="140" w:after="40"/>
      </w:pPr>
      <w:r>
        <w:rPr>
          <w:rFonts w:ascii="Aptos Display" w:hAnsi="Aptos Display"/>
          <w:b/>
          <w:color w:val="1F4E79"/>
          <w:sz w:val="24"/>
        </w:rPr>
        <w:t>Knowledge and Understanding of the Topic / Issues — 76%</w:t>
      </w:r>
    </w:p>
    <w:p>
      <w:pPr>
        <w:spacing w:after="100" w:line="252" w:lineRule="auto"/>
      </w:pPr>
      <w:r>
        <w:rPr>
          <w:rFonts w:ascii="Aptos" w:hAnsi="Aptos"/>
          <w:b w:val="0"/>
          <w:sz w:val="21"/>
        </w:rPr>
        <w:t>You demonstrate excellent knowledge of the gut–brain literature and use it to motivate a specific psychobiological question. The proposal moves from probiotic effects on depressive symptoms to vagal signalling evidence, resting HRV and the neurovisceral integration model, while appropriately recognising that much mechanistic evidence comes from animals. Importantly, you do not claim that a correlation between changes would prove mediation or a vagal mechanism. That restraint makes the biological rationale more credible and reflects the feedback you incorporated into the revised question.</w:t>
      </w:r>
    </w:p>
    <w:p>
      <w:pPr>
        <w:pStyle w:val="Heading1"/>
        <w:spacing w:before="140" w:after="40"/>
      </w:pPr>
      <w:r>
        <w:rPr>
          <w:rFonts w:ascii="Aptos Display" w:hAnsi="Aptos Display"/>
          <w:b/>
          <w:color w:val="1F4E79"/>
          <w:sz w:val="24"/>
        </w:rPr>
        <w:t>Research Methodology and Appropriate Implementation — 63%</w:t>
      </w:r>
    </w:p>
    <w:p>
      <w:pPr>
        <w:spacing w:after="100" w:line="252" w:lineRule="auto"/>
      </w:pPr>
      <w:r>
        <w:rPr>
          <w:rFonts w:ascii="Aptos" w:hAnsi="Aptos"/>
          <w:b w:val="0"/>
          <w:sz w:val="21"/>
        </w:rPr>
        <w:t>The randomised, double-blind, placebo-controlled 2 × 2 mixed design is appropriate and well described. PHQ-9 and RMSSD are operationalised with validated measures, HRV standardisation is detailed, and group × time interactions directly test H1 and H2. The fallback to non-parametric tests also needs care because separate Mann–Whitney and Wilcoxon tests are not a direct replacement for a group × time interaction. A mixed-effects model could provide a more coherent framework for incomplete repeated data and intention-to-treat analysis.</w:t>
      </w:r>
    </w:p>
    <w:p>
      <w:pPr>
        <w:pStyle w:val="Heading1"/>
        <w:spacing w:before="140" w:after="40"/>
      </w:pPr>
      <w:r>
        <w:rPr>
          <w:rFonts w:ascii="Aptos Display" w:hAnsi="Aptos Display"/>
          <w:b/>
          <w:color w:val="1F4E79"/>
          <w:sz w:val="24"/>
        </w:rPr>
        <w:t>Ethical Considerations — 76%</w:t>
      </w:r>
    </w:p>
    <w:p>
      <w:pPr>
        <w:spacing w:after="100" w:line="252" w:lineRule="auto"/>
      </w:pPr>
      <w:r>
        <w:rPr>
          <w:rFonts w:ascii="Aptos" w:hAnsi="Aptos"/>
          <w:b w:val="0"/>
          <w:sz w:val="21"/>
        </w:rPr>
        <w:t>Ethical reasoning is a major strength. You recognise that an intervention study creates risks beyond ordinary survey research, including digestive adverse effects and the PHQ-9 item on suicidal thoughts. The information sheet should also be fully consistent with the retention and withdrawal period. These additions would make an already thoughtful ethics section operationally complete.</w:t>
      </w:r>
    </w:p>
    <w:p>
      <w:pPr>
        <w:pStyle w:val="Heading1"/>
        <w:spacing w:before="140" w:after="40"/>
      </w:pPr>
      <w:r>
        <w:rPr>
          <w:rFonts w:ascii="Aptos Display" w:hAnsi="Aptos Display"/>
          <w:b/>
          <w:color w:val="1F4E79"/>
          <w:sz w:val="24"/>
        </w:rPr>
        <w:t>Criticality — 68%</w:t>
      </w:r>
    </w:p>
    <w:p>
      <w:pPr>
        <w:spacing w:after="100" w:line="252" w:lineRule="auto"/>
      </w:pPr>
      <w:r>
        <w:rPr>
          <w:rFonts w:ascii="Aptos" w:hAnsi="Aptos"/>
          <w:b w:val="0"/>
          <w:sz w:val="21"/>
        </w:rPr>
        <w:t>You show good critical awareness by distinguishing human RCT evidence from animal vagotomy evidence, recognising smaller probiotic effects in non-clinical samples, and repeatedly limiting claims about vagal mechanism. The limitations acknowledge measurement imprecision, self-report, power, adherence and the practical difficulty of an eight-week blinded supplementation trial. The proposal could deepen its criticality by discussing strain-specificity and heterogeneity more explicitly: “probiotics” are not one intervention, so findings from other formulations may not generalise to the exact product you select. You should also consider expectancy, dietary change and other concurrent behaviours as alternative explanations for symptom change even under blinding.</w:t>
      </w:r>
    </w:p>
    <w:p>
      <w:pPr>
        <w:pStyle w:val="Heading1"/>
        <w:spacing w:before="140" w:after="40"/>
      </w:pPr>
      <w:r>
        <w:rPr>
          <w:rFonts w:ascii="Aptos Display" w:hAnsi="Aptos Display"/>
          <w:b/>
          <w:color w:val="1F4E79"/>
          <w:sz w:val="24"/>
        </w:rPr>
        <w:t>Academic Integrity — 76%</w:t>
      </w:r>
    </w:p>
    <w:p>
      <w:pPr>
        <w:spacing w:after="100" w:line="252" w:lineRule="auto"/>
      </w:pPr>
      <w:r>
        <w:rPr>
          <w:rFonts w:ascii="Aptos" w:hAnsi="Aptos"/>
          <w:b w:val="0"/>
          <w:sz w:val="21"/>
        </w:rPr>
        <w:t>The evidence is consistently attributed and the reference list is traceable. You distinguish theory, empirical findings and your own prediction, and you are particularly careful with wording around vagal activity, association and mechanism. Continue to verify that the BPS source used is the relevant human-research ethics code rather than only the broader Code of Ethics and Conduct, and ensure that the final participant materials use the same terminology and withdrawal arrangements as the main proposal. These are minor scholarly consistency issues rather than major integrity problems.</w:t>
      </w:r>
    </w:p>
    <w:p>
      <w:pPr>
        <w:pStyle w:val="Heading1"/>
        <w:spacing w:before="140" w:after="40"/>
      </w:pPr>
      <w:r>
        <w:rPr>
          <w:rFonts w:ascii="Aptos Display" w:hAnsi="Aptos Display"/>
          <w:b/>
          <w:color w:val="1F4E79"/>
          <w:sz w:val="24"/>
        </w:rPr>
        <w:t>Use of Relevant Sources — 76%</w:t>
      </w:r>
    </w:p>
    <w:p>
      <w:pPr>
        <w:spacing w:after="100" w:line="252" w:lineRule="auto"/>
      </w:pPr>
      <w:r>
        <w:rPr>
          <w:rFonts w:ascii="Aptos" w:hAnsi="Aptos"/>
          <w:b w:val="0"/>
          <w:sz w:val="21"/>
        </w:rPr>
        <w:t>The sources are well chosen and directly support the key steps of the rationale: meta-analytic probiotic effects, animal vagal evidence, HRV in depression, the neurovisceral integration model, PHQ-9 validation, HRV methodology and a recent probiotic HRV RCT. This is a focused evidence base rather than a long list of peripheral citations. A useful addition would be more intervention-specific evidence on the selected multi-strain formulation, safety and expected effect size, because those points drive both power and feasibility. The literature on missing data and analysis of repeated-measures RCTs would also help justify the final statistical model.</w:t>
      </w:r>
    </w:p>
    <w:p>
      <w:pPr>
        <w:pStyle w:val="Heading1"/>
        <w:spacing w:before="140" w:after="40"/>
      </w:pPr>
      <w:r>
        <w:rPr>
          <w:rFonts w:ascii="Aptos Display" w:hAnsi="Aptos Display"/>
          <w:b/>
          <w:color w:val="1F4E79"/>
          <w:sz w:val="24"/>
        </w:rPr>
        <w:t>Structure and Presentation — 76%</w:t>
      </w:r>
    </w:p>
    <w:p>
      <w:pPr>
        <w:spacing w:after="100" w:line="252" w:lineRule="auto"/>
      </w:pPr>
      <w:r>
        <w:rPr>
          <w:rFonts w:ascii="Aptos" w:hAnsi="Aptos"/>
          <w:b w:val="0"/>
          <w:sz w:val="21"/>
        </w:rPr>
        <w:t>The proposal is professionally structured and easy to navigate. The progression from background to mechanistic gap, hypotheses, design, analysis, ethics, limitations and timeline is coherent, and the participant information is supplied separately as promised. The 30-week schedule appropriately recognises that an eight-week intervention requires substantially more time than a simple cross-sectional project. The main structural improvement is to replace remaining placeholders with final decisions, particularly formulation, power and adverse-event responsibilities. The declared word count of 2,189 remains within the permitted threshold, so no word-count penalty applies.</w:t>
      </w:r>
    </w:p>
    <w:p>
      <w:pPr>
        <w:pStyle w:val="Heading1"/>
        <w:spacing w:before="140" w:after="40"/>
      </w:pPr>
      <w:r>
        <w:rPr>
          <w:rFonts w:ascii="Aptos Display" w:hAnsi="Aptos Display"/>
          <w:b/>
          <w:color w:val="1F4E79"/>
          <w:sz w:val="24"/>
        </w:rPr>
        <w:t>Overall grade — 73%</w:t>
      </w:r>
    </w:p>
    <w:p>
      <w:pPr>
        <w:spacing w:after="100" w:line="252" w:lineRule="auto"/>
      </w:pPr>
      <w:r>
        <w:rPr>
          <w:rFonts w:ascii="Aptos" w:hAnsi="Aptos"/>
          <w:b w:val="0"/>
          <w:sz w:val="21"/>
        </w:rPr>
        <w:t>This is a strong proposal that successfully combines an intervention question with a cautious mechanistic interpretation. You have improved the design by treating RMSSD as an indirect cardiac index and by testing symptom and HRV changes in parallel rather than claiming mediation. Your safety thinking around PHQ-9 item 9 and adverse effects is a particular strength. With these operational details resolved, the study would be well aligned and scientifically defensible.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