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Participant_565733_assignsubmission_file</w:t>
      </w:r>
    </w:p>
    <w:p>
      <w:pPr>
        <w:spacing w:after="120"/>
      </w:pPr>
      <w:r>
        <w:rPr>
          <w:rFonts w:ascii="Aptos" w:hAnsi="Aptos"/>
          <w:b/>
          <w:sz w:val="21"/>
        </w:rPr>
        <w:t>Samara Lowther</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use the threat–deprivation distinction to generate a specific prediction rather than treating childhood adversity as one undifferentiated construct.</w:t>
      </w:r>
    </w:p>
    <w:p>
      <w:pPr>
        <w:pStyle w:val="ListBullet"/>
        <w:spacing w:after="40"/>
        <w:ind w:left="317" w:hanging="173"/>
      </w:pPr>
      <w:r>
        <w:rPr>
          <w:rFonts w:ascii="Aptos" w:hAnsi="Aptos"/>
          <w:sz w:val="21"/>
        </w:rPr>
        <w:t>Your LPP rationale is clear and you recognise that EEG provides limited spatial localisation and is vulnerable to physiological artefact.</w:t>
      </w:r>
    </w:p>
    <w:p>
      <w:pPr>
        <w:pStyle w:val="ListBullet"/>
        <w:spacing w:after="40"/>
        <w:ind w:left="317" w:hanging="173"/>
      </w:pPr>
      <w:r>
        <w:rPr>
          <w:rFonts w:ascii="Aptos" w:hAnsi="Aptos"/>
          <w:sz w:val="21"/>
        </w:rPr>
        <w:t>You critically connect inconsistent ERP findings with the need to compare adversity dimensions directly.</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Redesign the project around a realistically accessible method, such as a suitable existing EEG dataset or another permitted feasible physiological/neuropsychological measure, rather than primary laboratory EEG collection.</w:t>
      </w:r>
    </w:p>
    <w:p>
      <w:pPr>
        <w:pStyle w:val="ListBullet"/>
        <w:spacing w:after="40"/>
        <w:ind w:left="317" w:hanging="173"/>
      </w:pPr>
      <w:r>
        <w:rPr>
          <w:rFonts w:ascii="Aptos" w:hAnsi="Aptos"/>
          <w:sz w:val="21"/>
        </w:rPr>
        <w:t>Specify a statistically valid test for whether the threat coefficient is stronger than the deprivation coefficient instead of simply comparing standardised betas.</w:t>
      </w:r>
    </w:p>
    <w:p>
      <w:pPr>
        <w:pStyle w:val="ListBullet"/>
        <w:spacing w:after="40"/>
        <w:ind w:left="317" w:hanging="173"/>
      </w:pPr>
      <w:r>
        <w:rPr>
          <w:rFonts w:ascii="Aptos" w:hAnsi="Aptos"/>
          <w:sz w:val="21"/>
        </w:rPr>
        <w:t>Expand the ethics/data-governance plan for sensitive childhood-adversity data, including withdrawal cut-offs, retention and a more explicit distress pathway.</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understanding of the dimensional threat–deprivation framework and its relevance to emotional processing. The proposal distinguishes experiences involving harm from reduced expected environmental input and links threat specifically to heightened attention towards danger. You also avoid claiming that deprivation should have no neural effect; instead, you predict a weaker association with the selected threat-related LPP outcome. That is a more defensible and nuanced theoretical position.</w:t>
      </w:r>
    </w:p>
    <w:p>
      <w:pPr>
        <w:pStyle w:val="Heading1"/>
        <w:spacing w:before="140" w:after="40"/>
      </w:pPr>
      <w:r>
        <w:rPr>
          <w:rFonts w:ascii="Aptos Display" w:hAnsi="Aptos Display"/>
          <w:b/>
          <w:color w:val="1F4E79"/>
          <w:sz w:val="24"/>
        </w:rPr>
        <w:t>Research Methodology and Appropriate Implementation — 44%</w:t>
      </w:r>
    </w:p>
    <w:p>
      <w:pPr>
        <w:spacing w:after="100" w:line="252" w:lineRule="auto"/>
      </w:pPr>
      <w:r>
        <w:rPr>
          <w:rFonts w:ascii="Aptos" w:hAnsi="Aptos"/>
          <w:b w:val="0"/>
          <w:sz w:val="21"/>
        </w:rPr>
        <w:t>The conceptual design is clear, but implementation is the major weakness. Recruiting approximately 68 participants for primary EEG data collection, fitting caps, presenting morphed KDEF stimuli and preprocessing artefact-contaminated recordings is a laboratory-intensive project and is not sufficiently demonstrated as feasible for this online MSc context. You need a formal coefficient-comparison test, reparameterisation or confidence interval for the difference. These two issues substantially limit the otherwise coherent methodology.</w:t>
      </w:r>
    </w:p>
    <w:p>
      <w:pPr>
        <w:pStyle w:val="Heading1"/>
        <w:spacing w:before="140" w:after="40"/>
      </w:pPr>
      <w:r>
        <w:rPr>
          <w:rFonts w:ascii="Aptos Display" w:hAnsi="Aptos Display"/>
          <w:b/>
          <w:color w:val="1F4E79"/>
          <w:sz w:val="24"/>
        </w:rPr>
        <w:t>Ethical Considerations — 61%</w:t>
      </w:r>
    </w:p>
    <w:p>
      <w:pPr>
        <w:spacing w:after="100" w:line="252" w:lineRule="auto"/>
      </w:pPr>
      <w:r>
        <w:rPr>
          <w:rFonts w:ascii="Aptos" w:hAnsi="Aptos"/>
          <w:b w:val="0"/>
          <w:sz w:val="21"/>
        </w:rPr>
        <w:t>You recognise that retrospective childhood-adversity questions can cause distress and provide informed consent, the option to decline questions, secure coded data, debriefing and support information. The participant materials communicate the sensitive nature of the task and the use of EEG. Because adversity data are highly sensitive, explain whether identifiers are kept separately and when the linkage is destroyed. If the study is redesigned around secondary data, the ethics would change substantially and should instead address consent for reuse, de-identification and responsible handling of the dataset.</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Criticality is one of the strongest aspects of the proposal. You note inconsistent ERP findings, the co-occurrence of threat and deprivation, retrospective-report limitations, correlational constraints, EEG artefacts and limited spatial localisation. The extra Expected Results and Discussion sections show that you can interpret findings cautiously, although they are not required for this assignment. A further critical improvement would be to discuss whether morphing intensity and facial emotion type create nested or repeated structure that should be modelled rather than collapsed into a single threat-minus-neutral LPP score.</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Claims are consistently attributed and the reference list gives a clear scholarly trail through the adversity framework, LPP methodology and recent review evidence. You distinguish prior findings from the proposed study and do not overstate what EEG can localise. The proposal would benefit from explicitly citing the source of the power estimate and any planned EEG preprocessing standards, because those are methodological claims rather than background details. If the study moves to a public dataset, ensure that the source publication, dataset documentation and reuse conditions are cited directly so that the provenance of every analytic variable is transparent.</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literature is focused and high quality. You use foundational dimensional-adversity theory, empirical LPP work and a recent systematic review, and the 2026 DT-AS validation source directly justifies the proposed adversity measure. Add direct EEG/ERP preprocessing guidance, evidence on LPP reliability, and a statistical source for comparing predictor effects in the same regression. Those additions would support the design choices that currently rely more on procedural assertion than on methodological evidence.</w:t>
      </w:r>
    </w:p>
    <w:p>
      <w:pPr>
        <w:pStyle w:val="Heading1"/>
        <w:spacing w:before="140" w:after="40"/>
      </w:pPr>
      <w:r>
        <w:rPr>
          <w:rFonts w:ascii="Aptos Display" w:hAnsi="Aptos Display"/>
          <w:b/>
          <w:color w:val="1F4E79"/>
          <w:sz w:val="24"/>
        </w:rPr>
        <w:t>Structure and Presentation — 68%</w:t>
      </w:r>
    </w:p>
    <w:p>
      <w:pPr>
        <w:spacing w:after="100" w:line="252" w:lineRule="auto"/>
      </w:pPr>
      <w:r>
        <w:rPr>
          <w:rFonts w:ascii="Aptos" w:hAnsi="Aptos"/>
          <w:b w:val="0"/>
          <w:sz w:val="21"/>
        </w:rPr>
        <w:t>The proposal is organised clearly, with an abstract, rationale, method, ethics, analysis, limitations, timeline and appendices. The extra Expected Results and Discussion sections are not required and use space that could instead be devoted to feasibility and analysis specification, but they are coherent and do not prevent the reader from following the study. The timeline is well laid out, although it reinforces the feasibility concern because it assumes primary EEG recruitment and data collection can be completed in four weeks. A revised secondary-data design would allow the same structure to remain while giving the timeline much greater credibility.</w:t>
      </w:r>
    </w:p>
    <w:p>
      <w:pPr>
        <w:pStyle w:val="Heading1"/>
        <w:spacing w:before="140" w:after="40"/>
      </w:pPr>
      <w:r>
        <w:rPr>
          <w:rFonts w:ascii="Aptos Display" w:hAnsi="Aptos Display"/>
          <w:b/>
          <w:color w:val="1F4E79"/>
          <w:sz w:val="24"/>
        </w:rPr>
        <w:t>Overall grade — 66%</w:t>
      </w:r>
    </w:p>
    <w:p>
      <w:pPr>
        <w:spacing w:after="100" w:line="252" w:lineRule="auto"/>
      </w:pPr>
      <w:r>
        <w:rPr>
          <w:rFonts w:ascii="Aptos" w:hAnsi="Aptos"/>
          <w:b w:val="0"/>
          <w:sz w:val="21"/>
        </w:rPr>
        <w:t>This is a theoretically strong proposal with excellent use of the threat–deprivation framework and a clear neural outcome. Your critical interpretation of the LPP literature is also very good. You also need a formal test of the difference between threat and deprivation coefficients. Strengthening those two aspects, together with more detailed sensitive-data governance, would make the study substantially more robust and executable.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