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Participant_565734_assignsubmission_file</w:t>
      </w:r>
    </w:p>
    <w:p>
      <w:pPr>
        <w:spacing w:after="120"/>
      </w:pPr>
      <w:r>
        <w:rPr>
          <w:rFonts w:ascii="Aptos" w:hAnsi="Aptos"/>
          <w:b/>
          <w:sz w:val="21"/>
        </w:rPr>
        <w:t>Shelby Taylor</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distinguish long-term cortisol exposure from psychological stress and justify HCC as an integrated biological measure rather than equating it with subjective stress.</w:t>
      </w:r>
    </w:p>
    <w:p>
      <w:pPr>
        <w:pStyle w:val="ListBullet"/>
        <w:spacing w:after="40"/>
        <w:ind w:left="317" w:hanging="173"/>
      </w:pPr>
      <w:r>
        <w:rPr>
          <w:rFonts w:ascii="Aptos" w:hAnsi="Aptos"/>
          <w:sz w:val="21"/>
        </w:rPr>
        <w:t>Your primary delayed-recall regression includes relevant covariates, a completed power calculation and careful acknowledgement of causal limits.</w:t>
      </w:r>
    </w:p>
    <w:p>
      <w:pPr>
        <w:pStyle w:val="ListBullet"/>
        <w:spacing w:after="40"/>
        <w:ind w:left="317" w:hanging="173"/>
      </w:pPr>
      <w:r>
        <w:rPr>
          <w:rFonts w:ascii="Aptos" w:hAnsi="Aptos"/>
          <w:sz w:val="21"/>
        </w:rPr>
        <w:t>You address biological-sample collection, storage, disposal and participant discomfort rather than treating hair sampling as ethically trivial.</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Add a complete inferential analysis for H2 on total RAVLT learning, which is currently hypothesised but not carried through into the main analysis plan.</w:t>
      </w:r>
    </w:p>
    <w:p>
      <w:pPr>
        <w:pStyle w:val="ListBullet"/>
        <w:spacing w:after="40"/>
        <w:ind w:left="317" w:hanging="173"/>
      </w:pPr>
      <w:r>
        <w:rPr>
          <w:rFonts w:ascii="Aptos" w:hAnsi="Aptos"/>
          <w:sz w:val="21"/>
        </w:rPr>
        <w:t>Demonstrate access to a validated hair-cortisol assay and specify laboratory processing, quality-control and chain-of-custody arrangements.</w:t>
      </w:r>
    </w:p>
    <w:p>
      <w:pPr>
        <w:pStyle w:val="ListBullet"/>
        <w:spacing w:after="40"/>
        <w:ind w:left="317" w:hanging="173"/>
      </w:pPr>
      <w:r>
        <w:rPr>
          <w:rFonts w:ascii="Aptos" w:hAnsi="Aptos"/>
          <w:sz w:val="21"/>
        </w:rPr>
        <w:t>Carry out a careful APA and reference-accuracy check, including DOI formatting, bibliographic completeness and consistency of in-text page citations.</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very good psychobiological understanding. HCC is correctly framed as an estimate of longer-term cortisol exposure rather than a direct measure of chronic psychological stress, and the proposal connects prolonged HPA-axis activity with hippocampal and memory processes. The research question and H1/H2 are straightforward and testable. The literature review could be more explicitly mechanistic about why HCC should relate differently to acquisition versus delayed retrieval, but the central biological–neuropsychological link is clear and appropriately cautious.</w:t>
      </w:r>
    </w:p>
    <w:p>
      <w:pPr>
        <w:pStyle w:val="Heading1"/>
        <w:spacing w:before="140" w:after="40"/>
      </w:pPr>
      <w:r>
        <w:rPr>
          <w:rFonts w:ascii="Aptos Display" w:hAnsi="Aptos Display"/>
          <w:b/>
          <w:color w:val="1F4E79"/>
          <w:sz w:val="24"/>
        </w:rPr>
        <w:t>Research Methodology and Appropriate Implementation — 63%</w:t>
      </w:r>
    </w:p>
    <w:p>
      <w:pPr>
        <w:spacing w:after="100" w:line="252" w:lineRule="auto"/>
      </w:pPr>
      <w:r>
        <w:rPr>
          <w:rFonts w:ascii="Aptos" w:hAnsi="Aptos"/>
          <w:b w:val="0"/>
          <w:sz w:val="21"/>
        </w:rPr>
        <w:t>The design is generally strong. Hair cortisol and RAVLT outcomes are clearly operationalised, you include TICS and health/lifestyle variables, and the primary multiple regression specifies HCC, delayed recall and relevant covariates. Feasibility is also incomplete because hair samples require laboratory assay infrastructure. Specify the assay method, laboratory access, sample transport/storage, quality control and the point at which cortisol values become available.</w:t>
      </w:r>
    </w:p>
    <w:p>
      <w:pPr>
        <w:pStyle w:val="Heading1"/>
        <w:spacing w:before="140" w:after="40"/>
      </w:pPr>
      <w:r>
        <w:rPr>
          <w:rFonts w:ascii="Aptos Display" w:hAnsi="Aptos Display"/>
          <w:b/>
          <w:color w:val="1F4E79"/>
          <w:sz w:val="24"/>
        </w:rPr>
        <w:t>Ethical Considerations — 68%</w:t>
      </w:r>
    </w:p>
    <w:p>
      <w:pPr>
        <w:spacing w:after="100" w:line="252" w:lineRule="auto"/>
      </w:pPr>
      <w:r>
        <w:rPr>
          <w:rFonts w:ascii="Aptos" w:hAnsi="Aptos"/>
          <w:b w:val="0"/>
          <w:sz w:val="21"/>
        </w:rPr>
        <w:t>You address informed consent, withdrawal, confidentiality, possible distress from health questions, the minimally invasive nature of hair collection and the handling of biological samples. Referencing BPS principles, GDPR and University sample-management guidance gives the ethics section a strong foundation. State who holds the linking key, when it is destroyed and how hair samples are matched to research data without exposing identity. The final protocol should also name the responsible laboratory and disposal process.</w:t>
      </w:r>
    </w:p>
    <w:p>
      <w:pPr>
        <w:pStyle w:val="Heading1"/>
        <w:spacing w:before="140" w:after="40"/>
      </w:pPr>
      <w:r>
        <w:rPr>
          <w:rFonts w:ascii="Aptos Display" w:hAnsi="Aptos Display"/>
          <w:b/>
          <w:color w:val="1F4E79"/>
          <w:sz w:val="24"/>
        </w:rPr>
        <w:t>Criticality — 61%</w:t>
      </w:r>
    </w:p>
    <w:p>
      <w:pPr>
        <w:spacing w:after="100" w:line="252" w:lineRule="auto"/>
      </w:pPr>
      <w:r>
        <w:rPr>
          <w:rFonts w:ascii="Aptos" w:hAnsi="Aptos"/>
          <w:b w:val="0"/>
          <w:sz w:val="21"/>
        </w:rPr>
        <w:t>Your limitations are thoughtful and study-specific. You correctly restrict causal inference, discuss hair-treatment and growth effects on HCC, recognise that the RAVLT samples only certain memory processes and identify convenience-sampling limitations. Explain which variables are confounders versus descriptive characteristics and why. You could also discuss assay measurement error and the possibility that a single 3 cm segment averages over temporal variation that may not correspond exactly to the period most relevant for memory performance.</w:t>
      </w:r>
    </w:p>
    <w:p>
      <w:pPr>
        <w:pStyle w:val="Heading1"/>
        <w:spacing w:before="140" w:after="40"/>
      </w:pPr>
      <w:r>
        <w:rPr>
          <w:rFonts w:ascii="Aptos Display" w:hAnsi="Aptos Display"/>
          <w:b/>
          <w:color w:val="1F4E79"/>
          <w:sz w:val="24"/>
        </w:rPr>
        <w:t>Academic Integrity — 66%</w:t>
      </w:r>
    </w:p>
    <w:p>
      <w:pPr>
        <w:spacing w:after="100" w:line="252" w:lineRule="auto"/>
      </w:pPr>
      <w:r>
        <w:rPr>
          <w:rFonts w:ascii="Aptos" w:hAnsi="Aptos"/>
          <w:b w:val="0"/>
          <w:sz w:val="21"/>
        </w:rPr>
        <w:t>The work is well referenced overall, but scholarly presentation contains a noticeable number of APA and bibliographic inconsistencies. Some DOI strings are malformed, several entries use incomplete or non-standard journal details, and page-number citations are used inconsistently for paraphrased material. Run a systematic citation–reference correspondence check and verify every DOI against the original publication. Also standardise terminology such as “hair cortisol concentration”, “long-term cortisol exposure” and “chronic stress” so that evidence and interpretation remain clearly separated.</w:t>
      </w:r>
    </w:p>
    <w:p>
      <w:pPr>
        <w:pStyle w:val="Heading1"/>
        <w:spacing w:before="140" w:after="40"/>
      </w:pPr>
      <w:r>
        <w:rPr>
          <w:rFonts w:ascii="Aptos Display" w:hAnsi="Aptos Display"/>
          <w:b/>
          <w:color w:val="1F4E79"/>
          <w:sz w:val="24"/>
        </w:rPr>
        <w:t>Use of Relevant Sources — 68%</w:t>
      </w:r>
    </w:p>
    <w:p>
      <w:pPr>
        <w:spacing w:after="100" w:line="252" w:lineRule="auto"/>
      </w:pPr>
      <w:r>
        <w:rPr>
          <w:rFonts w:ascii="Aptos" w:hAnsi="Aptos"/>
          <w:b w:val="0"/>
          <w:sz w:val="21"/>
        </w:rPr>
        <w:t>The source base is relevant and includes recent HCC methodology, cortisol and hippocampal evidence, RAVLT sources, chronic-stress measurement and ethics guidance. You use methodological literature to justify why hair is more suitable than a single saliva or blood sample for the proposed temporal construct. The reading would be stronger with more direct adult evidence connecting HCC to verbal learning or delayed recall, and with a validated laboratory method source for the exact assay you plan to use. It would also help to distinguish evidence on cortisol exposure from evidence on self-reported stress, because the proposal appropriately argues that these are related but non-equivalent constructs.</w:t>
      </w:r>
    </w:p>
    <w:p>
      <w:pPr>
        <w:pStyle w:val="Heading1"/>
        <w:spacing w:before="140" w:after="40"/>
      </w:pPr>
      <w:r>
        <w:rPr>
          <w:rFonts w:ascii="Aptos Display" w:hAnsi="Aptos Display"/>
          <w:b/>
          <w:color w:val="1F4E79"/>
          <w:sz w:val="24"/>
        </w:rPr>
        <w:t>Structure and Presentation — 68%</w:t>
      </w:r>
    </w:p>
    <w:p>
      <w:pPr>
        <w:spacing w:after="100" w:line="252" w:lineRule="auto"/>
      </w:pPr>
      <w:r>
        <w:rPr>
          <w:rFonts w:ascii="Aptos" w:hAnsi="Aptos"/>
          <w:b w:val="0"/>
          <w:sz w:val="21"/>
        </w:rPr>
        <w:t>The proposal follows the required structure and is easy to navigate. The timeline, participant advertisement, information and consent materials, demographic questionnaire and debrief provide a reasonably complete picture of implementation. The timeline assumes that hair samples can be sent for analysis and results returned within the data-analysis window; once the assay route is confirmed, update that schedule to reflect real turnaround times. The declared word count is within the permitted threshold and no penalty applies.</w:t>
      </w:r>
    </w:p>
    <w:p>
      <w:pPr>
        <w:pStyle w:val="Heading1"/>
        <w:spacing w:before="140" w:after="40"/>
      </w:pPr>
      <w:r>
        <w:rPr>
          <w:rFonts w:ascii="Aptos Display" w:hAnsi="Aptos Display"/>
          <w:b/>
          <w:color w:val="1F4E79"/>
          <w:sz w:val="24"/>
        </w:rPr>
        <w:t>Overall grade — 68%</w:t>
      </w:r>
    </w:p>
    <w:p>
      <w:pPr>
        <w:spacing w:after="100" w:line="252" w:lineRule="auto"/>
      </w:pPr>
      <w:r>
        <w:rPr>
          <w:rFonts w:ascii="Aptos" w:hAnsi="Aptos"/>
          <w:b w:val="0"/>
          <w:sz w:val="21"/>
        </w:rPr>
        <w:t>This is a strong psychobiological proposal with a clear biological exposure measure, neuropsychological outcome and thoughtful treatment of causal limits. Your power planning and covariate awareness are good, and the biological-sample ethics are more developed than in many proposals. Finally, a careful APA and reference-accuracy pass would improve scholarly presentation. Resolving those issues would make the study more complete methodologically and more credible as an executable MSc project.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