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F4E79"/>
          <w:sz w:val="30"/>
        </w:rPr>
        <w:t>Participant_565736_assignsubmission_file</w:t>
      </w:r>
    </w:p>
    <w:p>
      <w:pPr>
        <w:spacing w:after="120"/>
      </w:pPr>
      <w:r>
        <w:rPr>
          <w:rFonts w:ascii="Aptos" w:hAnsi="Aptos"/>
          <w:b/>
          <w:sz w:val="21"/>
        </w:rPr>
        <w:t>Diana Mamonova</w:t>
      </w:r>
    </w:p>
    <w:p>
      <w:pPr>
        <w:pStyle w:val="Heading1"/>
        <w:spacing w:before="140" w:after="40"/>
      </w:pPr>
      <w:r>
        <w:rPr>
          <w:rFonts w:ascii="Aptos Display" w:hAnsi="Aptos Display"/>
          <w:b/>
          <w:color w:val="1F4E79"/>
          <w:sz w:val="24"/>
        </w:rPr>
        <w:t>Strengths</w:t>
      </w:r>
    </w:p>
    <w:p>
      <w:pPr>
        <w:pStyle w:val="ListBullet"/>
        <w:spacing w:after="40"/>
        <w:ind w:left="317" w:hanging="173"/>
      </w:pPr>
      <w:r>
        <w:rPr>
          <w:rFonts w:ascii="Aptos" w:hAnsi="Aptos"/>
          <w:sz w:val="21"/>
        </w:rPr>
        <w:t>You distinguish sympathetic SCR from parasympathetically influenced HRV and use that distinction to keep the biological predictor theoretically coherent.</w:t>
      </w:r>
    </w:p>
    <w:p>
      <w:pPr>
        <w:pStyle w:val="ListBullet"/>
        <w:spacing w:after="40"/>
        <w:ind w:left="317" w:hanging="173"/>
      </w:pPr>
      <w:r>
        <w:rPr>
          <w:rFonts w:ascii="Aptos" w:hAnsi="Aptos"/>
          <w:sz w:val="21"/>
        </w:rPr>
        <w:t>Your hierarchical moderation model closely matches the question about whether trait anxiety changes the SCR–attentional-bias relationship.</w:t>
      </w:r>
    </w:p>
    <w:p>
      <w:pPr>
        <w:pStyle w:val="ListBullet"/>
        <w:spacing w:after="40"/>
        <w:ind w:left="317" w:hanging="173"/>
      </w:pPr>
      <w:r>
        <w:rPr>
          <w:rFonts w:ascii="Aptos" w:hAnsi="Aptos"/>
          <w:sz w:val="21"/>
        </w:rPr>
        <w:t>You critically acknowledge dot-probe reliability problems and avoid claiming that concurrent SCR and attention measures establish causal direction.</w:t>
      </w:r>
    </w:p>
    <w:p>
      <w:pPr>
        <w:pStyle w:val="Heading1"/>
        <w:spacing w:before="140" w:after="40"/>
      </w:pPr>
      <w:r>
        <w:rPr>
          <w:rFonts w:ascii="Aptos Display" w:hAnsi="Aptos Display"/>
          <w:b/>
          <w:color w:val="1F4E79"/>
          <w:sz w:val="24"/>
        </w:rPr>
        <w:t>Areas for Improvement</w:t>
      </w:r>
    </w:p>
    <w:p>
      <w:pPr>
        <w:pStyle w:val="ListBullet"/>
        <w:spacing w:after="40"/>
        <w:ind w:left="317" w:hanging="173"/>
      </w:pPr>
      <w:r>
        <w:rPr>
          <w:rFonts w:ascii="Aptos" w:hAnsi="Aptos"/>
          <w:sz w:val="21"/>
        </w:rPr>
        <w:t>Complete the power analysis for the SCR × trait-anxiety interaction rather than leaving the sample of approximately 80 provisional.</w:t>
      </w:r>
    </w:p>
    <w:p>
      <w:pPr>
        <w:pStyle w:val="ListBullet"/>
        <w:spacing w:after="40"/>
        <w:ind w:left="317" w:hanging="173"/>
      </w:pPr>
      <w:r>
        <w:rPr>
          <w:rFonts w:ascii="Aptos" w:hAnsi="Aptos"/>
          <w:sz w:val="21"/>
        </w:rPr>
        <w:t>Demonstrate practical access to calibrated electrodermal equipment, suitable testing space and the time needed to run and preprocess around 80 laboratory sessions.</w:t>
      </w:r>
    </w:p>
    <w:p>
      <w:pPr>
        <w:pStyle w:val="ListBullet"/>
        <w:spacing w:after="40"/>
        <w:ind w:left="317" w:hanging="173"/>
      </w:pPr>
      <w:r>
        <w:rPr>
          <w:rFonts w:ascii="Aptos" w:hAnsi="Aptos"/>
          <w:sz w:val="21"/>
        </w:rPr>
        <w:t>If the precise hypotheses are withheld from participants, explicitly justify that partial disclosure in the ethics section and align it with the debrief procedure.</w:t>
      </w:r>
    </w:p>
    <w:p>
      <w:pPr>
        <w:pStyle w:val="Heading1"/>
        <w:spacing w:before="140" w:after="40"/>
      </w:pPr>
      <w:r>
        <w:rPr>
          <w:rFonts w:ascii="Aptos Display" w:hAnsi="Aptos Display"/>
          <w:b/>
          <w:color w:val="1F4E79"/>
          <w:sz w:val="24"/>
        </w:rPr>
        <w:t>Knowledge and Understanding of the Topic / Issues — 76%</w:t>
      </w:r>
    </w:p>
    <w:p>
      <w:pPr>
        <w:spacing w:after="100" w:line="252" w:lineRule="auto"/>
      </w:pPr>
      <w:r>
        <w:rPr>
          <w:rFonts w:ascii="Aptos" w:hAnsi="Aptos"/>
          <w:b w:val="0"/>
          <w:sz w:val="21"/>
        </w:rPr>
        <w:t>You demonstrate excellent conceptual understanding of the psychophysiology. The proposal deliberately narrows the biological predictor to sympathetic reactivity and explains why SCR and HRV are not interchangeable, which is an important methodological distinction. You also state that the proposed relationship is theoretical and statistical rather than evidence that SCR causes attentional bias. That combination of mechanism and causal restraint is a significant strength.</w:t>
      </w:r>
    </w:p>
    <w:p>
      <w:pPr>
        <w:pStyle w:val="Heading1"/>
        <w:spacing w:before="140" w:after="40"/>
      </w:pPr>
      <w:r>
        <w:rPr>
          <w:rFonts w:ascii="Aptos Display" w:hAnsi="Aptos Display"/>
          <w:b/>
          <w:color w:val="1F4E79"/>
          <w:sz w:val="24"/>
        </w:rPr>
        <w:t>Research Methodology and Appropriate Implementation — 63%</w:t>
      </w:r>
    </w:p>
    <w:p>
      <w:pPr>
        <w:spacing w:after="100" w:line="252" w:lineRule="auto"/>
      </w:pPr>
      <w:r>
        <w:rPr>
          <w:rFonts w:ascii="Aptos" w:hAnsi="Aptos"/>
          <w:b w:val="0"/>
          <w:sz w:val="21"/>
        </w:rPr>
        <w:t>The design is well aligned. Threat-specific SCR is operationalised as threat minus neutral event-related amplitude, attentional bias is defined as incongruent minus congruent reaction time, and trait anxiety remains continuous. The main weakness is that the sample size is still provisional: “approximately 80” should be replaced by a completed interaction-focused power calculation. Practical feasibility also needs to be demonstrated because calibrated EDA equipment, controlled room conditions and around 80 individual recording sessions create a substantial workload in an online MSc context.</w:t>
      </w:r>
    </w:p>
    <w:p>
      <w:pPr>
        <w:pStyle w:val="Heading1"/>
        <w:spacing w:before="140" w:after="40"/>
      </w:pPr>
      <w:r>
        <w:rPr>
          <w:rFonts w:ascii="Aptos Display" w:hAnsi="Aptos Display"/>
          <w:b/>
          <w:color w:val="1F4E79"/>
          <w:sz w:val="24"/>
        </w:rPr>
        <w:t>Ethical Considerations — 76%</w:t>
      </w:r>
    </w:p>
    <w:p>
      <w:pPr>
        <w:spacing w:after="100" w:line="252" w:lineRule="auto"/>
      </w:pPr>
      <w:r>
        <w:rPr>
          <w:rFonts w:ascii="Aptos" w:hAnsi="Aptos"/>
          <w:b w:val="0"/>
          <w:sz w:val="21"/>
        </w:rPr>
        <w:t>The ethics plan is strong and study-specific. You address mild discomfort from threatening faces, anxiety questions, the non-invasive nature of SCR, consent, withdrawal, pseudonymisation, data retention, distress procedures and the fact that the sensors do not read thoughts or provide a diagnosis. One issue should be made more explicit: the debrief states that the precise hypotheses were not fully explained before participation to avoid bias. That is a form of partial disclosure and should be justified prospectively in the ethics section, with clear explanation of why it is necessary, why risk remains minimal and how the debrief restores informed understanding after participation.</w:t>
      </w:r>
    </w:p>
    <w:p>
      <w:pPr>
        <w:pStyle w:val="Heading1"/>
        <w:spacing w:before="140" w:after="40"/>
      </w:pPr>
      <w:r>
        <w:rPr>
          <w:rFonts w:ascii="Aptos Display" w:hAnsi="Aptos Display"/>
          <w:b/>
          <w:color w:val="1F4E79"/>
          <w:sz w:val="24"/>
        </w:rPr>
        <w:t>Criticality — 76%</w:t>
      </w:r>
    </w:p>
    <w:p>
      <w:pPr>
        <w:spacing w:after="100" w:line="252" w:lineRule="auto"/>
      </w:pPr>
      <w:r>
        <w:rPr>
          <w:rFonts w:ascii="Aptos" w:hAnsi="Aptos"/>
          <w:b w:val="0"/>
          <w:sz w:val="21"/>
        </w:rPr>
        <w:t>Criticality is excellent. You identify inconsistent dot-probe results, mean-score limitations, reliability concerns, potential physiological confounds and the fact that concurrent measurement cannot establish causal direction. A further improvement would be to specify whether the primary bias score is sufficiently reliable for individual-differences regression and whether trial-level or reliability-enhanced alternatives will be considered as sensitivity analyses. That would connect your methodological critique directly to the chosen outcome measure.</w:t>
      </w:r>
    </w:p>
    <w:p>
      <w:pPr>
        <w:pStyle w:val="Heading1"/>
        <w:spacing w:before="140" w:after="40"/>
      </w:pPr>
      <w:r>
        <w:rPr>
          <w:rFonts w:ascii="Aptos Display" w:hAnsi="Aptos Display"/>
          <w:b/>
          <w:color w:val="1F4E79"/>
          <w:sz w:val="24"/>
        </w:rPr>
        <w:t>Academic Integrity — 66%</w:t>
      </w:r>
    </w:p>
    <w:p>
      <w:pPr>
        <w:spacing w:after="100" w:line="252" w:lineRule="auto"/>
      </w:pPr>
      <w:r>
        <w:rPr>
          <w:rFonts w:ascii="Aptos" w:hAnsi="Aptos"/>
          <w:b w:val="0"/>
          <w:sz w:val="21"/>
        </w:rPr>
        <w:t>Your claims are consistently attributed and the reference list provides clear traceability across anxiety theory, electrodermal measurement, dot-probe methodology and ethics. You explicitly distinguish measured sympathetic reactivity from broader physiological arousal, which supports evidential transparency. APA presentation is generally sound, though several references could be completed with DOI information and checked for exact formatting. The participant materials also contain placeholder-style contact information that should be replaced with final authorised details before use. These are presentational and administrative corrections rather than problems with the scholarly argument itself.</w:t>
      </w:r>
    </w:p>
    <w:p>
      <w:pPr>
        <w:pStyle w:val="Heading1"/>
        <w:spacing w:before="140" w:after="40"/>
      </w:pPr>
      <w:r>
        <w:rPr>
          <w:rFonts w:ascii="Aptos Display" w:hAnsi="Aptos Display"/>
          <w:b/>
          <w:color w:val="1F4E79"/>
          <w:sz w:val="24"/>
        </w:rPr>
        <w:t>Use of Relevant Sources — 76%</w:t>
      </w:r>
    </w:p>
    <w:p>
      <w:pPr>
        <w:spacing w:after="100" w:line="252" w:lineRule="auto"/>
      </w:pPr>
      <w:r>
        <w:rPr>
          <w:rFonts w:ascii="Aptos" w:hAnsi="Aptos"/>
          <w:b w:val="0"/>
          <w:sz w:val="21"/>
        </w:rPr>
        <w:t>The reading is focused and high quality. You use foundational anxiety models, the classic dot-probe paper, a major meta-analysis, a standard electrodermal text and recent work challenging simple trait-anxiety prediction. A source supporting the power assumptions for a continuous moderation effect would also help complete the method. Otherwise, the literature is well integrated and clearly informs your design choices.</w:t>
      </w:r>
    </w:p>
    <w:p>
      <w:pPr>
        <w:pStyle w:val="Heading1"/>
        <w:spacing w:before="140" w:after="40"/>
      </w:pPr>
      <w:r>
        <w:rPr>
          <w:rFonts w:ascii="Aptos Display" w:hAnsi="Aptos Display"/>
          <w:b/>
          <w:color w:val="1F4E79"/>
          <w:sz w:val="24"/>
        </w:rPr>
        <w:t>Structure and Presentation — 76%</w:t>
      </w:r>
    </w:p>
    <w:p>
      <w:pPr>
        <w:spacing w:after="100" w:line="252" w:lineRule="auto"/>
      </w:pPr>
      <w:r>
        <w:rPr>
          <w:rFonts w:ascii="Aptos" w:hAnsi="Aptos"/>
          <w:b w:val="0"/>
          <w:sz w:val="21"/>
        </w:rPr>
        <w:t>The proposal is professionally organised and easy to follow. The progression from construct definition to mechanism, research question, operationalisation, analysis, ethics and limitations is clear, and the appendices provide participant information, consent, debrief and distress procedures. The timeline is sensible at a high level, but its practical credibility depends on confirmed access to the required EDA setup and testing environment. Once the sample-size calculation and equipment access are finalised, revise the timeline to reflect realistic recruitment and session throughput. The declared word count is within the permitted limit.</w:t>
      </w:r>
    </w:p>
    <w:p>
      <w:pPr>
        <w:pStyle w:val="Heading1"/>
        <w:spacing w:before="140" w:after="40"/>
      </w:pPr>
      <w:r>
        <w:rPr>
          <w:rFonts w:ascii="Aptos Display" w:hAnsi="Aptos Display"/>
          <w:b/>
          <w:color w:val="1F4E79"/>
          <w:sz w:val="24"/>
        </w:rPr>
        <w:t>Overall grade — 72%</w:t>
      </w:r>
    </w:p>
    <w:p>
      <w:pPr>
        <w:spacing w:after="100" w:line="252" w:lineRule="auto"/>
      </w:pPr>
      <w:r>
        <w:rPr>
          <w:rFonts w:ascii="Aptos" w:hAnsi="Aptos"/>
          <w:b w:val="0"/>
          <w:sz w:val="21"/>
        </w:rPr>
        <w:t>This is a strong, carefully reasoned psychophysiology proposal. You make an important conceptual distinction between sympathetic SCR and HRV, and the moderation model is well matched to the research question. The remaining issues are mainly implementation: complete the interaction power analysis, demonstrate that the laboratory workload and EDA equipment are realistically available, and explicitly justify the partial disclosure described in the debrief. Addressing those points would turn an already strong conceptual design into a more complete and ethically transparent protocol.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Psychobiology &amp; Neuroscience | Research Proposal Feedback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