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Participant_565738_assignsubmission_file</w:t>
      </w:r>
    </w:p>
    <w:p>
      <w:pPr>
        <w:spacing w:after="120"/>
      </w:pPr>
      <w:r>
        <w:rPr>
          <w:rFonts w:ascii="Aptos" w:hAnsi="Aptos"/>
          <w:b/>
          <w:sz w:val="21"/>
        </w:rPr>
        <w:t>Marit Böhle</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treat HRV dynamically across baseline, reappraisal and recovery rather than assuming a single resting value captures regulatory functioning.</w:t>
      </w:r>
    </w:p>
    <w:p>
      <w:pPr>
        <w:pStyle w:val="ListBullet"/>
        <w:spacing w:after="40"/>
        <w:ind w:left="317" w:hanging="173"/>
      </w:pPr>
      <w:r>
        <w:rPr>
          <w:rFonts w:ascii="Aptos" w:hAnsi="Aptos"/>
          <w:sz w:val="21"/>
        </w:rPr>
        <w:t>Your primary regression isolates recovery-period lnRMSSD while controlling resting and reappraisal-period HRV and respiration, closely matching the research question.</w:t>
      </w:r>
    </w:p>
    <w:p>
      <w:pPr>
        <w:pStyle w:val="ListBullet"/>
        <w:spacing w:after="40"/>
        <w:ind w:left="317" w:hanging="173"/>
      </w:pPr>
      <w:r>
        <w:rPr>
          <w:rFonts w:ascii="Aptos" w:hAnsi="Aptos"/>
          <w:sz w:val="21"/>
        </w:rPr>
        <w:t>You critically distinguish physiological recovery from causal emotion-regulation ability and recognise demand characteristics, habituation and alternative strategy use.</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Reassess whether recruiting approximately 190–200 laboratory participants is realistic for the MSc timetable and available ECG resources.</w:t>
      </w:r>
    </w:p>
    <w:p>
      <w:pPr>
        <w:pStyle w:val="ListBullet"/>
        <w:spacing w:after="40"/>
        <w:ind w:left="317" w:hanging="173"/>
      </w:pPr>
      <w:r>
        <w:rPr>
          <w:rFonts w:ascii="Aptos" w:hAnsi="Aptos"/>
          <w:sz w:val="21"/>
        </w:rPr>
        <w:t>Address the fixed ordering of the reappraise block more explicitly, because always placing reappraisal last can confound regulation with time, fatigue and habituation.</w:t>
      </w:r>
    </w:p>
    <w:p>
      <w:pPr>
        <w:pStyle w:val="ListBullet"/>
        <w:spacing w:after="40"/>
        <w:ind w:left="317" w:hanging="173"/>
      </w:pPr>
      <w:r>
        <w:rPr>
          <w:rFonts w:ascii="Aptos" w:hAnsi="Aptos"/>
          <w:sz w:val="21"/>
        </w:rPr>
        <w:t>Prespecify the exact treatment of unusable ECG segments, respiratory covariation and participants who do not follow the reappraisal instruction.</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understanding of emotion regulation and cardiac autonomic physiology. The neurovisceral integration model is used with appropriate caution: HRV is described as an indirect, context-sensitive physiological correlate rather than a direct biomarker of prefrontal regulation. The definition of reappraisal success is independent of physiology, which avoids circularity. The hypothesis and objectives follow clearly from this rationale and are appropriately framed as association rather than proof of causal vagal regulation.</w:t>
      </w:r>
    </w:p>
    <w:p>
      <w:pPr>
        <w:pStyle w:val="Heading1"/>
        <w:spacing w:before="140" w:after="40"/>
      </w:pPr>
      <w:r>
        <w:rPr>
          <w:rFonts w:ascii="Aptos Display" w:hAnsi="Aptos Display"/>
          <w:b/>
          <w:color w:val="1F4E79"/>
          <w:sz w:val="24"/>
        </w:rPr>
        <w:t>Research Methodology and Appropriate Implementation — 70%</w:t>
      </w:r>
    </w:p>
    <w:p>
      <w:pPr>
        <w:spacing w:after="100" w:line="252" w:lineRule="auto"/>
      </w:pPr>
      <w:r>
        <w:rPr>
          <w:rFonts w:ascii="Aptos" w:hAnsi="Aptos"/>
          <w:b w:val="0"/>
          <w:sz w:val="21"/>
        </w:rPr>
        <w:t>The methodology is strong and detailed. Negative affect is repeatedly measured, ECG is continuous, RMSSD is log-transformed, respiration is recorded, and the confirmatory regression includes resting HRV, reappraisal HRV, block order and respiratory rate. You should either demonstrate access to a sufficiently large participant pool and testing capacity or reconsider the detectable effect size and design. Also predefine how unusable ECG data and failed strategy-adherence checks affect inclusion.</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The ethical plan is strong. You identify temporary distress from negative images, non-invasive but potentially uncomfortable physiological recording, voluntary withdrawal, pseudonymisation, restricted access and the withdrawal window before anonymisation. A minor improvement would be to explain how participants who remain distressed at the end of the recovery period are managed before leaving and who is responsible for escalation if distress is substantial. You should also ensure the final screening criteria for cardiac medication and illness are proportionate and do not imply clinical assessment.</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Your critical analysis is excellent. You note the small overall meta-analytic HRV–self-regulation association, mixed task-HRV findings and the possibility that successful reappraisal drives subsequent physiological recovery rather than the reverse. Counterbalancing negative image sets helps, but does not remove block-order effects. Explain why fixed order is necessary and how the analysis or future design will address this.</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The proposal is very well referenced and evidentially transparent. You distinguish resting, task and recovery physiology; theory from empirical support; and confirmatory from exploratory analyses. Methodological claims about HRV, respiration and the ERQ are supported with appropriate sources. APA presentation is professional and the participant materials are consistent with the main protocol. Continue to document any preprocessing thresholds and sensitivity analyses before examining outcome relationships, because physiological data cleaning can otherwise introduce researcher flexibility. This is a relatively minor procedural point in a proposal that already demonstrates strong scholarly discipline.</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reading is broad, relevant and well integrated. You combine foundational emotion-regulation theory, neurovisceral integration, meta-analytic evidence, empirical recovery studies, methodological HRV work and validation of the ERQ. This is a strong postgraduate evidence base. The most useful additional sources would concern reliability of short-duration recovery HRV and best-practice handling of respiration in RMSSD models, particularly if respiratory rate is treated as a covariate rather than part of a sensitivity analysis.</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is professionally written and logically organised. The reader can follow the transition from the conceptual gap to the experimental phases, confirmatory model, ethics, limitations and a detailed multi-month timeline. Revising recruitment expectations or documenting access to a large participant pool would make the schedule more credible. The declared word count of 2,199 is within the limit, though only narrowly.</w:t>
      </w:r>
    </w:p>
    <w:p>
      <w:pPr>
        <w:pStyle w:val="Heading1"/>
        <w:spacing w:before="140" w:after="40"/>
      </w:pPr>
      <w:r>
        <w:rPr>
          <w:rFonts w:ascii="Aptos Display" w:hAnsi="Aptos Display"/>
          <w:b/>
          <w:color w:val="1F4E79"/>
          <w:sz w:val="24"/>
        </w:rPr>
        <w:t>Overall grade — 75%</w:t>
      </w:r>
    </w:p>
    <w:p>
      <w:pPr>
        <w:spacing w:after="100" w:line="252" w:lineRule="auto"/>
      </w:pPr>
      <w:r>
        <w:rPr>
          <w:rFonts w:ascii="Aptos" w:hAnsi="Aptos"/>
          <w:b w:val="0"/>
          <w:sz w:val="21"/>
        </w:rPr>
        <w:t>This is an excellent proposal with a distinctive focus on the temporal dynamics of cardiac recovery after cognitive reappraisal. The theory, physiological operationalisation and confirmatory regression are closely aligned, and your critical treatment of HRV avoids common overinterpretation. The design would also benefit from a more explicit treatment of the fixed reappraisal order and prespecified handling of unusable physiological data or failed strategy adherence. If those implementation issues are resolved, the study would provide a rigorous and theoretically meaningful test of post-regulation HRV recovery.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