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0C37" w:rsidP="33C5E135" w:rsidRDefault="000F0C37" w14:paraId="5E5787A5" w14:textId="06A19646">
      <w:pPr>
        <w:pStyle w:val="Normal"/>
      </w:pPr>
      <w:hyperlink r:id="R1bf56de2926e4b13">
        <w:r w:rsidRPr="33C5E135" w:rsidR="639E8276">
          <w:rPr>
            <w:rStyle w:val="Hyperlink"/>
            <w:b w:val="0"/>
            <w:bCs w:val="0"/>
            <w:i w:val="0"/>
            <w:iCs w:val="0"/>
            <w:caps w:val="0"/>
            <w:smallCaps w:val="0"/>
            <w:strike w:val="0"/>
            <w:dstrike w:val="0"/>
            <w:noProof w:val="0"/>
            <w:color w:val="CD202C"/>
            <w:u w:val="single"/>
            <w:lang w:val="en-GB"/>
          </w:rPr>
          <w:t>Amiee Kostiadis</w:t>
        </w:r>
      </w:hyperlink>
    </w:p>
    <w:p w:rsidR="33C5E135" w:rsidP="33C5E135" w:rsidRDefault="33C5E135" w14:paraId="71205015" w14:textId="12480082">
      <w:pPr>
        <w:pStyle w:val="Normal"/>
        <w:rPr>
          <w:b w:val="0"/>
          <w:bCs w:val="0"/>
          <w:i w:val="0"/>
          <w:iCs w:val="0"/>
          <w:caps w:val="0"/>
          <w:smallCaps w:val="0"/>
          <w:strike w:val="0"/>
          <w:dstrike w:val="0"/>
          <w:noProof w:val="0"/>
          <w:color w:val="CD202C"/>
          <w:u w:val="single"/>
          <w:lang w:val="en-GB"/>
        </w:rPr>
      </w:pPr>
    </w:p>
    <w:p w:rsidR="33C5E135" w:rsidP="33C5E135" w:rsidRDefault="33C5E135" w14:paraId="7EBBC9E4" w14:textId="301AC1A9">
      <w:pPr>
        <w:shd w:val="clear" w:color="auto" w:fill="FFFFFF" w:themeFill="background1"/>
        <w:spacing w:before="0" w:beforeAutospacing="off" w:after="240" w:afterAutospacing="off"/>
        <w:jc w:val="left"/>
      </w:pPr>
    </w:p>
    <w:p w:rsidR="639E8276" w:rsidP="33C5E135" w:rsidRDefault="639E8276" w14:paraId="3C98D1DD" w14:textId="37FB8497">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Initial post:</w:t>
      </w:r>
    </w:p>
    <w:p w:rsidR="639E8276" w:rsidP="33C5E135" w:rsidRDefault="639E8276" w14:paraId="20BAB90A" w14:textId="1EE97DDC">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Psychographic targeting shows the growing union of political campaigning and commercial marketing. The aimClear article explains how political campaigns can use social-media data to identify specific groups of voters and change messages according to their interests, behaviours, and psychological characteristics (aimClear, 2015).  While this approach may make political advertising more efficient, it can make people question about whether this communication is genuinely cooperative.</w:t>
      </w:r>
    </w:p>
    <w:p w:rsidR="639E8276" w:rsidP="33C5E135" w:rsidRDefault="639E8276" w14:paraId="5A6567B2" w14:textId="5955EC2F">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Grice’s Cooperative Principle suggests that effective communication usually follows four sayings: quality, this means that information should be honest and adequately supported; quantity, this means that sufficient information should be provided; relation, this means that communication should be relevant; and manner, this means that communication should be clear (Grice, 1989). Psychographic political advertising can potentially conflict with all four of these sayings. Quality may be compromised when emotionally persuasive ideas are exaggerated or not supported properly. Quantity may be compromised when audiences receive only information in which they may be more inclined to agree with, whereas information that contradicts the point will be excluded. Relation is also questionable when an advert exploits an individual's psychological characteristics rather than providing relevant information about political issues. Also, manner can be an issue when the personalised nature or persuasive purpose of an advert is not apparent to the viewer. The aimClear article demonstrates this strategic approach by explaining how political campaigns can use targeted audiences and tailored messaging to move voters through a campaign “funnel” (aimClear, 2015).</w:t>
      </w:r>
    </w:p>
    <w:p w:rsidR="639E8276" w:rsidP="33C5E135" w:rsidRDefault="639E8276" w14:paraId="1C0F9C7D" w14:textId="42805A3D">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Halpern’s model of critical thinking provides a useful framework for agencies working in this environment. She defines critical thinking as using skills and strategies deliberately that will increase the chances of the desired outcome (Halpern, 1998). Her model includes a disposition to think critically, instruction in critical-thinking skills, recognition of the underlying structure of problems, and metacognitive monitoring (Halpern, 1998).  Applied to political advertising, these skills could help agencies evaluate the reliability of voter data, identify assumptions about particular groups, differentiate correlation from causation, and consider different explanations for individual behaviour. Metacognitive monitoring could also encourage agencies to reflect on whether their decisions are genuinely evidence-based or influenced by confirmation bias.</w:t>
      </w:r>
    </w:p>
    <w:p w:rsidR="639E8276" w:rsidP="33C5E135" w:rsidRDefault="639E8276" w14:paraId="5C5061BB" w14:textId="2ABB5F46">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There is evidence that critical thinking can be learned, however, transferring these skills to new situations is not always automatic. Halpern (1998) argues that critical-thinking skills can be developed through clear instruction, mixed with opportunities to recognise how those skills apply across different contexts. Supporting this argument, Abrami et al. (2015) conducted a meta-analysis incorporating 341 effect sizes and found a statistically significant positive effect of instructional interventions on critical-thinking skills and dispositions.  In practice, political advertising agencies could develop these abilities through structured training, analysis of previous campaigns, challenging assumptions, peer review, testing   competing explanations, and conducting post-campaign evaluations. These activities could make critical thinking part of everyday professional practice rather than a skill.</w:t>
      </w:r>
    </w:p>
    <w:p w:rsidR="639E8276" w:rsidP="33C5E135" w:rsidRDefault="639E8276" w14:paraId="08F59E4B" w14:textId="24645900">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Ultimately, Gricean communication and Halpernian critical thinking address different but similar ideas in political advertising. Grice provides a standard for evaluating whether communication is truthful, informative enough, relevant, and clear, whereas Halpern provides a framework for improving the reasoning behind campaign decisions. Critical thinking may help agencies recognise when psychographic targeting risks violating Gricean principles, but it does not guarantee ethical communication. An agency can reason effectively while deliberately designing manipulative messages. Therefore, Gricean cooperative communication is relevant to critical thinking because it provides an ethical and communicative standard against which decisions reached through critical thinking can be evaluated.</w:t>
      </w:r>
    </w:p>
    <w:p w:rsidR="639E8276" w:rsidP="33C5E135" w:rsidRDefault="639E8276" w14:paraId="043FA62E" w14:textId="1D6B6315">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References:</w:t>
      </w:r>
    </w:p>
    <w:p w:rsidR="639E8276" w:rsidP="33C5E135" w:rsidRDefault="639E8276" w14:paraId="7AAB8E4C" w14:textId="71DBC890">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33C5E135" w:rsidR="639E8276">
        <w:rPr>
          <w:rFonts w:ascii="Aptos" w:hAnsi="Aptos" w:eastAsia="Aptos" w:cs="Aptos"/>
          <w:b w:val="0"/>
          <w:bCs w:val="0"/>
          <w:i w:val="1"/>
          <w:iCs w:val="1"/>
          <w:caps w:val="0"/>
          <w:smallCaps w:val="0"/>
          <w:noProof w:val="0"/>
          <w:color w:val="4C5A73"/>
          <w:sz w:val="24"/>
          <w:szCs w:val="24"/>
          <w:lang w:val="en-GB"/>
        </w:rPr>
        <w:t>Review of Educational Research, 85</w:t>
      </w:r>
      <w:r w:rsidRPr="33C5E135" w:rsidR="639E8276">
        <w:rPr>
          <w:rFonts w:ascii="Aptos" w:hAnsi="Aptos" w:eastAsia="Aptos" w:cs="Aptos"/>
          <w:b w:val="0"/>
          <w:bCs w:val="0"/>
          <w:i w:val="0"/>
          <w:iCs w:val="0"/>
          <w:caps w:val="0"/>
          <w:smallCaps w:val="0"/>
          <w:noProof w:val="0"/>
          <w:color w:val="4C5A73"/>
          <w:sz w:val="24"/>
          <w:szCs w:val="24"/>
          <w:lang w:val="en-GB"/>
        </w:rPr>
        <w:t xml:space="preserve">(2), 275–314. </w:t>
      </w:r>
      <w:hyperlink r:id="R3fe3c60da0d34507">
        <w:r w:rsidRPr="33C5E135" w:rsidR="639E8276">
          <w:rPr>
            <w:rStyle w:val="Hyperlink"/>
            <w:b w:val="0"/>
            <w:bCs w:val="0"/>
            <w:i w:val="0"/>
            <w:iCs w:val="0"/>
            <w:caps w:val="0"/>
            <w:smallCaps w:val="0"/>
            <w:noProof w:val="0"/>
            <w:lang w:val="en-GB"/>
          </w:rPr>
          <w:t>https://doi.org/10.3102/0034654314551063</w:t>
        </w:r>
      </w:hyperlink>
      <w:r w:rsidRPr="33C5E135" w:rsidR="639E8276">
        <w:rPr>
          <w:rFonts w:ascii="Aptos" w:hAnsi="Aptos" w:eastAsia="Aptos" w:cs="Aptos"/>
          <w:b w:val="0"/>
          <w:bCs w:val="0"/>
          <w:i w:val="0"/>
          <w:iCs w:val="0"/>
          <w:caps w:val="0"/>
          <w:smallCaps w:val="0"/>
          <w:noProof w:val="0"/>
          <w:color w:val="4C5A73"/>
          <w:sz w:val="24"/>
          <w:szCs w:val="24"/>
          <w:lang w:val="en-GB"/>
        </w:rPr>
        <w:t xml:space="preserve"> DOI</w:t>
      </w:r>
    </w:p>
    <w:p w:rsidR="639E8276" w:rsidP="33C5E135" w:rsidRDefault="639E8276" w14:paraId="416FBEA2" w14:textId="2F8B48D2">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 xml:space="preserve">aimClear. (2015, December 3). </w:t>
      </w:r>
      <w:r w:rsidRPr="33C5E135" w:rsidR="639E8276">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w:t>
      </w:r>
      <w:r w:rsidRPr="33C5E135" w:rsidR="639E8276">
        <w:rPr>
          <w:rFonts w:ascii="Aptos" w:hAnsi="Aptos" w:eastAsia="Aptos" w:cs="Aptos"/>
          <w:b w:val="0"/>
          <w:bCs w:val="0"/>
          <w:i w:val="0"/>
          <w:iCs w:val="0"/>
          <w:caps w:val="0"/>
          <w:smallCaps w:val="0"/>
          <w:noProof w:val="0"/>
          <w:color w:val="4C5A73"/>
          <w:sz w:val="24"/>
          <w:szCs w:val="24"/>
          <w:lang w:val="en-GB"/>
        </w:rPr>
        <w:t xml:space="preserve">. Search Engine Land. </w:t>
      </w:r>
    </w:p>
    <w:p w:rsidR="639E8276" w:rsidP="33C5E135" w:rsidRDefault="639E8276" w14:paraId="0DCDFC6D" w14:textId="5B4C9751">
      <w:pPr>
        <w:shd w:val="clear" w:color="auto" w:fill="FFFFFF" w:themeFill="background1"/>
        <w:spacing w:before="0" w:beforeAutospacing="off" w:after="240" w:afterAutospacing="off"/>
        <w:jc w:val="left"/>
      </w:pPr>
      <w:r w:rsidRPr="33C5E135" w:rsidR="639E8276">
        <w:rPr>
          <w:rFonts w:ascii="Aptos" w:hAnsi="Aptos" w:eastAsia="Aptos" w:cs="Aptos"/>
          <w:b w:val="0"/>
          <w:bCs w:val="0"/>
          <w:i w:val="0"/>
          <w:iCs w:val="0"/>
          <w:caps w:val="0"/>
          <w:smallCaps w:val="0"/>
          <w:noProof w:val="0"/>
          <w:color w:val="4C5A73"/>
          <w:sz w:val="24"/>
          <w:szCs w:val="24"/>
          <w:lang w:val="en-GB"/>
        </w:rPr>
        <w:t xml:space="preserve">Grice, H. P. (1989). </w:t>
      </w:r>
      <w:r w:rsidRPr="33C5E135" w:rsidR="639E8276">
        <w:rPr>
          <w:rFonts w:ascii="Aptos" w:hAnsi="Aptos" w:eastAsia="Aptos" w:cs="Aptos"/>
          <w:b w:val="0"/>
          <w:bCs w:val="0"/>
          <w:i w:val="1"/>
          <w:iCs w:val="1"/>
          <w:caps w:val="0"/>
          <w:smallCaps w:val="0"/>
          <w:noProof w:val="0"/>
          <w:color w:val="4C5A73"/>
          <w:sz w:val="24"/>
          <w:szCs w:val="24"/>
          <w:lang w:val="en-GB"/>
        </w:rPr>
        <w:t>Studies in the way of words</w:t>
      </w:r>
      <w:r w:rsidRPr="33C5E135" w:rsidR="639E8276">
        <w:rPr>
          <w:rFonts w:ascii="Aptos" w:hAnsi="Aptos" w:eastAsia="Aptos" w:cs="Aptos"/>
          <w:b w:val="0"/>
          <w:bCs w:val="0"/>
          <w:i w:val="0"/>
          <w:iCs w:val="0"/>
          <w:caps w:val="0"/>
          <w:smallCaps w:val="0"/>
          <w:noProof w:val="0"/>
          <w:color w:val="4C5A73"/>
          <w:sz w:val="24"/>
          <w:szCs w:val="24"/>
          <w:lang w:val="en-GB"/>
        </w:rPr>
        <w:t xml:space="preserve">. Harvard University Press. </w:t>
      </w:r>
    </w:p>
    <w:p w:rsidR="639E8276" w:rsidP="33C5E135" w:rsidRDefault="639E8276" w14:paraId="543641DD" w14:textId="2D5AABDF">
      <w:pPr>
        <w:shd w:val="clear" w:color="auto" w:fill="FFFFFF" w:themeFill="background1"/>
        <w:spacing w:before="0" w:beforeAutospacing="off" w:after="240" w:afterAutospacing="off"/>
        <w:jc w:val="left"/>
        <w:rPr>
          <w:rFonts w:ascii="Aptos" w:hAnsi="Aptos" w:eastAsia="Aptos" w:cs="Aptos"/>
          <w:b w:val="0"/>
          <w:bCs w:val="0"/>
          <w:i w:val="0"/>
          <w:iCs w:val="0"/>
          <w:caps w:val="0"/>
          <w:smallCaps w:val="0"/>
          <w:noProof w:val="0"/>
          <w:color w:val="4C5A73"/>
          <w:sz w:val="24"/>
          <w:szCs w:val="24"/>
          <w:lang w:val="en-GB"/>
        </w:rPr>
      </w:pPr>
      <w:r w:rsidRPr="33C5E135" w:rsidR="639E8276">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33C5E135" w:rsidR="639E8276">
        <w:rPr>
          <w:rFonts w:ascii="Aptos" w:hAnsi="Aptos" w:eastAsia="Aptos" w:cs="Aptos"/>
          <w:b w:val="0"/>
          <w:bCs w:val="0"/>
          <w:i w:val="1"/>
          <w:iCs w:val="1"/>
          <w:caps w:val="0"/>
          <w:smallCaps w:val="0"/>
          <w:noProof w:val="0"/>
          <w:color w:val="4C5A73"/>
          <w:sz w:val="24"/>
          <w:szCs w:val="24"/>
          <w:lang w:val="en-GB"/>
        </w:rPr>
        <w:t>American Psychologist, 53</w:t>
      </w:r>
      <w:r w:rsidRPr="33C5E135" w:rsidR="639E8276">
        <w:rPr>
          <w:rFonts w:ascii="Aptos" w:hAnsi="Aptos" w:eastAsia="Aptos" w:cs="Aptos"/>
          <w:b w:val="0"/>
          <w:bCs w:val="0"/>
          <w:i w:val="0"/>
          <w:iCs w:val="0"/>
          <w:caps w:val="0"/>
          <w:smallCaps w:val="0"/>
          <w:noProof w:val="0"/>
          <w:color w:val="4C5A73"/>
          <w:sz w:val="24"/>
          <w:szCs w:val="24"/>
          <w:lang w:val="en-GB"/>
        </w:rPr>
        <w:t xml:space="preserve">(4), 449–455. </w:t>
      </w:r>
      <w:hyperlink r:id="R68e854a27b504e95">
        <w:r w:rsidRPr="33C5E135" w:rsidR="639E8276">
          <w:rPr>
            <w:rStyle w:val="Hyperlink"/>
            <w:b w:val="0"/>
            <w:bCs w:val="0"/>
            <w:i w:val="0"/>
            <w:iCs w:val="0"/>
            <w:caps w:val="0"/>
            <w:smallCaps w:val="0"/>
            <w:noProof w:val="0"/>
            <w:lang w:val="en-GB"/>
          </w:rPr>
          <w:t>https://doi.org/10.1037/0003-066X.53.4.449</w:t>
        </w:r>
      </w:hyperlink>
    </w:p>
    <w:p w:rsidR="33C5E135" w:rsidP="33C5E135" w:rsidRDefault="33C5E135" w14:paraId="7047DFF6" w14:textId="417DF93A">
      <w:pPr>
        <w:pStyle w:val="Normal"/>
        <w:rPr>
          <w:b w:val="0"/>
          <w:bCs w:val="0"/>
          <w:i w:val="0"/>
          <w:iCs w:val="0"/>
          <w:caps w:val="0"/>
          <w:smallCaps w:val="0"/>
          <w:strike w:val="0"/>
          <w:dstrike w:val="0"/>
          <w:noProof w:val="0"/>
          <w:color w:val="CD202C"/>
          <w:u w:val="single"/>
          <w:lang w:val="en-GB"/>
        </w:rPr>
      </w:pPr>
    </w:p>
    <w:p w:rsidR="639E8276" w:rsidP="33C5E135" w:rsidRDefault="639E8276" w14:paraId="415535BB" w14:textId="274FFAE3">
      <w:pPr>
        <w:pStyle w:val="Normal"/>
      </w:pPr>
      <w:r w:rsidRPr="33C5E135" w:rsidR="639E8276">
        <w:rPr>
          <w:b w:val="0"/>
          <w:bCs w:val="0"/>
          <w:i w:val="0"/>
          <w:iCs w:val="0"/>
          <w:caps w:val="0"/>
          <w:smallCaps w:val="0"/>
          <w:strike w:val="0"/>
          <w:dstrike w:val="0"/>
          <w:noProof w:val="0"/>
          <w:color w:val="CD202C"/>
          <w:u w:val="single"/>
          <w:lang w:val="en-GB"/>
        </w:rPr>
        <w:t>--</w:t>
      </w:r>
    </w:p>
    <w:p w:rsidR="68403B78" w:rsidP="33C5E135" w:rsidRDefault="68403B78" w14:paraId="37E3D5CF" w14:textId="5C45C4C2">
      <w:pPr>
        <w:pStyle w:val="Normal"/>
        <w:rPr>
          <w:rFonts w:ascii="Aptos" w:hAnsi="Aptos" w:eastAsia="Aptos" w:cs="Aptos"/>
          <w:b w:val="0"/>
          <w:bCs w:val="0"/>
          <w:i w:val="0"/>
          <w:iCs w:val="0"/>
          <w:caps w:val="0"/>
          <w:smallCaps w:val="0"/>
          <w:noProof w:val="0"/>
          <w:color w:val="4C5A73"/>
          <w:sz w:val="24"/>
          <w:szCs w:val="24"/>
          <w:lang w:val="en-GB"/>
        </w:rPr>
      </w:pPr>
      <w:r w:rsidRPr="33C5E135" w:rsidR="68403B78">
        <w:rPr>
          <w:b w:val="0"/>
          <w:bCs w:val="0"/>
          <w:i w:val="0"/>
          <w:iCs w:val="0"/>
          <w:caps w:val="0"/>
          <w:smallCaps w:val="0"/>
          <w:strike w:val="0"/>
          <w:dstrike w:val="0"/>
          <w:noProof w:val="0"/>
          <w:color w:val="CD202C"/>
          <w:u w:val="single"/>
          <w:lang w:val="en-GB"/>
        </w:rPr>
        <w:t>PR1:</w:t>
      </w:r>
      <w:r>
        <w:br/>
      </w:r>
      <w:r>
        <w:br/>
      </w:r>
      <w:r w:rsidRPr="33C5E135" w:rsidR="0841199D">
        <w:rPr>
          <w:rFonts w:ascii="Aptos" w:hAnsi="Aptos" w:eastAsia="Aptos" w:cs="Aptos"/>
          <w:b w:val="0"/>
          <w:bCs w:val="0"/>
          <w:i w:val="0"/>
          <w:iCs w:val="0"/>
          <w:caps w:val="0"/>
          <w:smallCaps w:val="0"/>
          <w:noProof w:val="0"/>
          <w:color w:val="4C5A73"/>
          <w:sz w:val="24"/>
          <w:szCs w:val="24"/>
          <w:lang w:val="en-GB"/>
        </w:rPr>
        <w:t xml:space="preserve">Hi Lucy, this was </w:t>
      </w:r>
      <w:r w:rsidRPr="33C5E135" w:rsidR="0841199D">
        <w:rPr>
          <w:rFonts w:ascii="Aptos" w:hAnsi="Aptos" w:eastAsia="Aptos" w:cs="Aptos"/>
          <w:b w:val="0"/>
          <w:bCs w:val="0"/>
          <w:i w:val="0"/>
          <w:iCs w:val="0"/>
          <w:caps w:val="0"/>
          <w:smallCaps w:val="0"/>
          <w:noProof w:val="0"/>
          <w:color w:val="4C5A73"/>
          <w:sz w:val="24"/>
          <w:szCs w:val="24"/>
          <w:lang w:val="en-GB"/>
        </w:rPr>
        <w:t>very interesting</w:t>
      </w:r>
      <w:r w:rsidRPr="33C5E135" w:rsidR="0841199D">
        <w:rPr>
          <w:rFonts w:ascii="Aptos" w:hAnsi="Aptos" w:eastAsia="Aptos" w:cs="Aptos"/>
          <w:b w:val="0"/>
          <w:bCs w:val="0"/>
          <w:i w:val="0"/>
          <w:iCs w:val="0"/>
          <w:caps w:val="0"/>
          <w:smallCaps w:val="0"/>
          <w:noProof w:val="0"/>
          <w:color w:val="4C5A73"/>
          <w:sz w:val="24"/>
          <w:szCs w:val="24"/>
          <w:lang w:val="en-GB"/>
        </w:rPr>
        <w:t xml:space="preserve"> to read, I enjoyed the level of detail you had in your essay!</w:t>
      </w:r>
      <w:r>
        <w:br/>
      </w:r>
      <w:r w:rsidRPr="33C5E135" w:rsidR="0841199D">
        <w:rPr>
          <w:rFonts w:ascii="Aptos" w:hAnsi="Aptos" w:eastAsia="Aptos" w:cs="Aptos"/>
          <w:b w:val="0"/>
          <w:bCs w:val="0"/>
          <w:i w:val="0"/>
          <w:iCs w:val="0"/>
          <w:caps w:val="0"/>
          <w:smallCaps w:val="0"/>
          <w:noProof w:val="0"/>
          <w:color w:val="4C5A73"/>
          <w:sz w:val="24"/>
          <w:szCs w:val="24"/>
          <w:lang w:val="en-GB"/>
        </w:rPr>
        <w:t xml:space="preserve">The discussion does provide </w:t>
      </w:r>
      <w:r w:rsidRPr="33C5E135" w:rsidR="0841199D">
        <w:rPr>
          <w:rFonts w:ascii="Aptos" w:hAnsi="Aptos" w:eastAsia="Aptos" w:cs="Aptos"/>
          <w:b w:val="0"/>
          <w:bCs w:val="0"/>
          <w:i w:val="0"/>
          <w:iCs w:val="0"/>
          <w:caps w:val="0"/>
          <w:smallCaps w:val="0"/>
          <w:noProof w:val="0"/>
          <w:color w:val="4C5A73"/>
          <w:sz w:val="24"/>
          <w:szCs w:val="24"/>
          <w:lang w:val="en-GB"/>
        </w:rPr>
        <w:t>a strong argument</w:t>
      </w:r>
      <w:r w:rsidRPr="33C5E135" w:rsidR="0841199D">
        <w:rPr>
          <w:rFonts w:ascii="Aptos" w:hAnsi="Aptos" w:eastAsia="Aptos" w:cs="Aptos"/>
          <w:b w:val="0"/>
          <w:bCs w:val="0"/>
          <w:i w:val="0"/>
          <w:iCs w:val="0"/>
          <w:caps w:val="0"/>
          <w:smallCaps w:val="0"/>
          <w:noProof w:val="0"/>
          <w:color w:val="4C5A73"/>
          <w:sz w:val="24"/>
          <w:szCs w:val="24"/>
          <w:lang w:val="en-GB"/>
        </w:rPr>
        <w:t xml:space="preserve"> that psychographic targeting creates a tension between effective political persuasion and the principles of cooperative communication. The difference between messages being relevant to someone and being informative to that person is particularly important. Although personalised advertising may support Grice’s maxim of relation, by addressing subjects that interest specific voters, this does not necessarily mean that the communication provides sufficient or balanced information.</w:t>
      </w:r>
      <w:r>
        <w:br/>
      </w:r>
      <w:r w:rsidRPr="33C5E135" w:rsidR="0841199D">
        <w:rPr>
          <w:rFonts w:ascii="Aptos" w:hAnsi="Aptos" w:eastAsia="Aptos" w:cs="Aptos"/>
          <w:b w:val="0"/>
          <w:bCs w:val="0"/>
          <w:i w:val="0"/>
          <w:iCs w:val="0"/>
          <w:caps w:val="0"/>
          <w:smallCaps w:val="0"/>
          <w:noProof w:val="0"/>
          <w:color w:val="4C5A73"/>
          <w:sz w:val="24"/>
          <w:szCs w:val="24"/>
          <w:lang w:val="en-GB"/>
        </w:rPr>
        <w:t xml:space="preserve">This argument is supported by Matz et al. (2017), who explained that psychologically shaped persuasive messages can influence behaviour significantly. Their research found that psychologically matched advertising created significantly more engagement than mismatched or messages that </w:t>
      </w:r>
      <w:r w:rsidRPr="33C5E135" w:rsidR="0841199D">
        <w:rPr>
          <w:rFonts w:ascii="Aptos" w:hAnsi="Aptos" w:eastAsia="Aptos" w:cs="Aptos"/>
          <w:b w:val="0"/>
          <w:bCs w:val="0"/>
          <w:i w:val="0"/>
          <w:iCs w:val="0"/>
          <w:caps w:val="0"/>
          <w:smallCaps w:val="0"/>
          <w:noProof w:val="0"/>
          <w:color w:val="4C5A73"/>
          <w:sz w:val="24"/>
          <w:szCs w:val="24"/>
          <w:lang w:val="en-GB"/>
        </w:rPr>
        <w:t>weren’t</w:t>
      </w:r>
      <w:r w:rsidRPr="33C5E135" w:rsidR="0841199D">
        <w:rPr>
          <w:rFonts w:ascii="Aptos" w:hAnsi="Aptos" w:eastAsia="Aptos" w:cs="Aptos"/>
          <w:b w:val="0"/>
          <w:bCs w:val="0"/>
          <w:i w:val="0"/>
          <w:iCs w:val="0"/>
          <w:caps w:val="0"/>
          <w:smallCaps w:val="0"/>
          <w:noProof w:val="0"/>
          <w:color w:val="4C5A73"/>
          <w:sz w:val="24"/>
          <w:szCs w:val="24"/>
          <w:lang w:val="en-GB"/>
        </w:rPr>
        <w:t xml:space="preserve"> personalised. This supports the argument that psychographic targeting can make political communication more effective but, it also raises concerns about whether effectiveness should be considered equivalent to ethical or cooperative communication.</w:t>
      </w:r>
      <w:r>
        <w:br/>
      </w:r>
      <w:r w:rsidRPr="33C5E135" w:rsidR="0841199D">
        <w:rPr>
          <w:rFonts w:ascii="Aptos" w:hAnsi="Aptos" w:eastAsia="Aptos" w:cs="Aptos"/>
          <w:b w:val="0"/>
          <w:bCs w:val="0"/>
          <w:i w:val="0"/>
          <w:iCs w:val="0"/>
          <w:caps w:val="0"/>
          <w:smallCaps w:val="0"/>
          <w:noProof w:val="0"/>
          <w:color w:val="4C5A73"/>
          <w:sz w:val="24"/>
          <w:szCs w:val="24"/>
          <w:lang w:val="en-GB"/>
        </w:rPr>
        <w:t xml:space="preserve">A different perspective is provided by Zuiderveen Borgesius et al. (2018), they agree that political microtargeting can improve the connection between campaigns and voters’ concerns and increase political engagement sometimes. Although, they highlight the democratic risks associated with presenting different political messages to </w:t>
      </w:r>
      <w:r w:rsidRPr="33C5E135" w:rsidR="0841199D">
        <w:rPr>
          <w:rFonts w:ascii="Aptos" w:hAnsi="Aptos" w:eastAsia="Aptos" w:cs="Aptos"/>
          <w:b w:val="0"/>
          <w:bCs w:val="0"/>
          <w:i w:val="0"/>
          <w:iCs w:val="0"/>
          <w:caps w:val="0"/>
          <w:smallCaps w:val="0"/>
          <w:noProof w:val="0"/>
          <w:color w:val="4C5A73"/>
          <w:sz w:val="24"/>
          <w:szCs w:val="24"/>
          <w:lang w:val="en-GB"/>
        </w:rPr>
        <w:t>different groups</w:t>
      </w:r>
      <w:r w:rsidRPr="33C5E135" w:rsidR="0841199D">
        <w:rPr>
          <w:rFonts w:ascii="Aptos" w:hAnsi="Aptos" w:eastAsia="Aptos" w:cs="Aptos"/>
          <w:b w:val="0"/>
          <w:bCs w:val="0"/>
          <w:i w:val="0"/>
          <w:iCs w:val="0"/>
          <w:caps w:val="0"/>
          <w:smallCaps w:val="0"/>
          <w:noProof w:val="0"/>
          <w:color w:val="4C5A73"/>
          <w:sz w:val="24"/>
          <w:szCs w:val="24"/>
          <w:lang w:val="en-GB"/>
        </w:rPr>
        <w:t xml:space="preserve"> of people. Therefore, targeted communication may be relevant and clear while still limiting the information available to voters.</w:t>
      </w:r>
      <w:r>
        <w:br/>
      </w:r>
      <w:r w:rsidRPr="33C5E135" w:rsidR="0841199D">
        <w:rPr>
          <w:rFonts w:ascii="Aptos" w:hAnsi="Aptos" w:eastAsia="Aptos" w:cs="Aptos"/>
          <w:b w:val="0"/>
          <w:bCs w:val="0"/>
          <w:i w:val="0"/>
          <w:iCs w:val="0"/>
          <w:caps w:val="0"/>
          <w:smallCaps w:val="0"/>
          <w:noProof w:val="0"/>
          <w:color w:val="4C5A73"/>
          <w:sz w:val="24"/>
          <w:szCs w:val="24"/>
          <w:lang w:val="en-GB"/>
        </w:rPr>
        <w:t xml:space="preserve">The application of Halpern’s critical-thinking model is valuable in this case because evaluating evidence, questioning assumptions and monitoring reasoning could improve campaign decision-making. On the other hand, critical thinking does not always ensure that campaigns follow Grice’s Cooperative Principle. If the main goal is persuasion, critical-thinking skills could potentially be used to </w:t>
      </w:r>
      <w:r w:rsidRPr="33C5E135" w:rsidR="0841199D">
        <w:rPr>
          <w:rFonts w:ascii="Aptos" w:hAnsi="Aptos" w:eastAsia="Aptos" w:cs="Aptos"/>
          <w:b w:val="0"/>
          <w:bCs w:val="0"/>
          <w:i w:val="0"/>
          <w:iCs w:val="0"/>
          <w:caps w:val="0"/>
          <w:smallCaps w:val="0"/>
          <w:noProof w:val="0"/>
          <w:color w:val="4C5A73"/>
          <w:sz w:val="24"/>
          <w:szCs w:val="24"/>
          <w:lang w:val="en-GB"/>
        </w:rPr>
        <w:t>identify</w:t>
      </w:r>
      <w:r w:rsidRPr="33C5E135" w:rsidR="0841199D">
        <w:rPr>
          <w:rFonts w:ascii="Aptos" w:hAnsi="Aptos" w:eastAsia="Aptos" w:cs="Aptos"/>
          <w:b w:val="0"/>
          <w:bCs w:val="0"/>
          <w:i w:val="0"/>
          <w:iCs w:val="0"/>
          <w:caps w:val="0"/>
          <w:smallCaps w:val="0"/>
          <w:noProof w:val="0"/>
          <w:color w:val="4C5A73"/>
          <w:sz w:val="24"/>
          <w:szCs w:val="24"/>
          <w:lang w:val="en-GB"/>
        </w:rPr>
        <w:t xml:space="preserve"> the most effective ways of influencing particular audiences. Overall, the discussion effectively </w:t>
      </w:r>
      <w:r w:rsidRPr="33C5E135" w:rsidR="0841199D">
        <w:rPr>
          <w:rFonts w:ascii="Aptos" w:hAnsi="Aptos" w:eastAsia="Aptos" w:cs="Aptos"/>
          <w:b w:val="0"/>
          <w:bCs w:val="0"/>
          <w:i w:val="0"/>
          <w:iCs w:val="0"/>
          <w:caps w:val="0"/>
          <w:smallCaps w:val="0"/>
          <w:noProof w:val="0"/>
          <w:color w:val="4C5A73"/>
          <w:sz w:val="24"/>
          <w:szCs w:val="24"/>
          <w:lang w:val="en-GB"/>
        </w:rPr>
        <w:t>demonstrates</w:t>
      </w:r>
      <w:r w:rsidRPr="33C5E135" w:rsidR="0841199D">
        <w:rPr>
          <w:rFonts w:ascii="Aptos" w:hAnsi="Aptos" w:eastAsia="Aptos" w:cs="Aptos"/>
          <w:b w:val="0"/>
          <w:bCs w:val="0"/>
          <w:i w:val="0"/>
          <w:iCs w:val="0"/>
          <w:caps w:val="0"/>
          <w:smallCaps w:val="0"/>
          <w:noProof w:val="0"/>
          <w:color w:val="4C5A73"/>
          <w:sz w:val="24"/>
          <w:szCs w:val="24"/>
          <w:lang w:val="en-GB"/>
        </w:rPr>
        <w:t xml:space="preserve"> that effective communication, cooperative </w:t>
      </w:r>
      <w:r w:rsidRPr="33C5E135" w:rsidR="0841199D">
        <w:rPr>
          <w:rFonts w:ascii="Aptos" w:hAnsi="Aptos" w:eastAsia="Aptos" w:cs="Aptos"/>
          <w:b w:val="0"/>
          <w:bCs w:val="0"/>
          <w:i w:val="0"/>
          <w:iCs w:val="0"/>
          <w:caps w:val="0"/>
          <w:smallCaps w:val="0"/>
          <w:noProof w:val="0"/>
          <w:color w:val="4C5A73"/>
          <w:sz w:val="24"/>
          <w:szCs w:val="24"/>
          <w:lang w:val="en-GB"/>
        </w:rPr>
        <w:t>communication</w:t>
      </w:r>
      <w:r w:rsidRPr="33C5E135" w:rsidR="0841199D">
        <w:rPr>
          <w:rFonts w:ascii="Aptos" w:hAnsi="Aptos" w:eastAsia="Aptos" w:cs="Aptos"/>
          <w:b w:val="0"/>
          <w:bCs w:val="0"/>
          <w:i w:val="0"/>
          <w:iCs w:val="0"/>
          <w:caps w:val="0"/>
          <w:smallCaps w:val="0"/>
          <w:noProof w:val="0"/>
          <w:color w:val="4C5A73"/>
          <w:sz w:val="24"/>
          <w:szCs w:val="24"/>
          <w:lang w:val="en-GB"/>
        </w:rPr>
        <w:t xml:space="preserve"> and ethical political communication are not necessarily identical.</w:t>
      </w:r>
      <w:r>
        <w:br/>
      </w:r>
      <w:r w:rsidRPr="33C5E135" w:rsidR="0841199D">
        <w:rPr>
          <w:rFonts w:ascii="Aptos" w:hAnsi="Aptos" w:eastAsia="Aptos" w:cs="Aptos"/>
          <w:b w:val="0"/>
          <w:bCs w:val="0"/>
          <w:i w:val="0"/>
          <w:iCs w:val="0"/>
          <w:caps w:val="0"/>
          <w:smallCaps w:val="0"/>
          <w:noProof w:val="0"/>
          <w:color w:val="4C5A73"/>
          <w:sz w:val="24"/>
          <w:szCs w:val="24"/>
          <w:lang w:val="en-GB"/>
        </w:rPr>
        <w:t>References</w:t>
      </w:r>
      <w:r>
        <w:br/>
      </w:r>
      <w:r w:rsidRPr="33C5E135" w:rsidR="0841199D">
        <w:rPr>
          <w:rFonts w:ascii="Aptos" w:hAnsi="Aptos" w:eastAsia="Aptos" w:cs="Aptos"/>
          <w:b w:val="0"/>
          <w:bCs w:val="0"/>
          <w:i w:val="0"/>
          <w:iCs w:val="0"/>
          <w:caps w:val="0"/>
          <w:smallCaps w:val="0"/>
          <w:noProof w:val="0"/>
          <w:color w:val="4C5A73"/>
          <w:sz w:val="24"/>
          <w:szCs w:val="24"/>
          <w:lang w:val="en-GB"/>
        </w:rPr>
        <w:t>Matz, S. C., Kosinski, M., Nave, G., &amp; Stillwell, D. J. (2017). Psychological targeting as an effective approach to digital mass persuasion. Proceedings of the National Academy of Sciences, 114(48), 12714–12719. https://doi.org/10.1073/pnas.1710966114.</w:t>
      </w:r>
      <w:r>
        <w:br/>
      </w:r>
      <w:r w:rsidRPr="33C5E135" w:rsidR="0841199D">
        <w:rPr>
          <w:rFonts w:ascii="Aptos" w:hAnsi="Aptos" w:eastAsia="Aptos" w:cs="Aptos"/>
          <w:b w:val="0"/>
          <w:bCs w:val="0"/>
          <w:i w:val="0"/>
          <w:iCs w:val="0"/>
          <w:caps w:val="0"/>
          <w:smallCaps w:val="0"/>
          <w:noProof w:val="0"/>
          <w:color w:val="4C5A73"/>
          <w:sz w:val="24"/>
          <w:szCs w:val="24"/>
          <w:lang w:val="en-GB"/>
        </w:rPr>
        <w:t xml:space="preserve">Zuiderveen </w:t>
      </w:r>
      <w:r w:rsidRPr="33C5E135" w:rsidR="0841199D">
        <w:rPr>
          <w:rFonts w:ascii="Aptos" w:hAnsi="Aptos" w:eastAsia="Aptos" w:cs="Aptos"/>
          <w:b w:val="0"/>
          <w:bCs w:val="0"/>
          <w:i w:val="0"/>
          <w:iCs w:val="0"/>
          <w:caps w:val="0"/>
          <w:smallCaps w:val="0"/>
          <w:noProof w:val="0"/>
          <w:color w:val="4C5A73"/>
          <w:sz w:val="24"/>
          <w:szCs w:val="24"/>
          <w:lang w:val="en-GB"/>
        </w:rPr>
        <w:t>Borgesius</w:t>
      </w:r>
      <w:r w:rsidRPr="33C5E135" w:rsidR="0841199D">
        <w:rPr>
          <w:rFonts w:ascii="Aptos" w:hAnsi="Aptos" w:eastAsia="Aptos" w:cs="Aptos"/>
          <w:b w:val="0"/>
          <w:bCs w:val="0"/>
          <w:i w:val="0"/>
          <w:iCs w:val="0"/>
          <w:caps w:val="0"/>
          <w:smallCaps w:val="0"/>
          <w:noProof w:val="0"/>
          <w:color w:val="4C5A73"/>
          <w:sz w:val="24"/>
          <w:szCs w:val="24"/>
          <w:lang w:val="en-GB"/>
        </w:rPr>
        <w:t xml:space="preserve">, F. J., Möller, J., </w:t>
      </w:r>
      <w:r w:rsidRPr="33C5E135" w:rsidR="0841199D">
        <w:rPr>
          <w:rFonts w:ascii="Aptos" w:hAnsi="Aptos" w:eastAsia="Aptos" w:cs="Aptos"/>
          <w:b w:val="0"/>
          <w:bCs w:val="0"/>
          <w:i w:val="0"/>
          <w:iCs w:val="0"/>
          <w:caps w:val="0"/>
          <w:smallCaps w:val="0"/>
          <w:noProof w:val="0"/>
          <w:color w:val="4C5A73"/>
          <w:sz w:val="24"/>
          <w:szCs w:val="24"/>
          <w:lang w:val="en-GB"/>
        </w:rPr>
        <w:t>Kruikemeier</w:t>
      </w:r>
      <w:r w:rsidRPr="33C5E135" w:rsidR="0841199D">
        <w:rPr>
          <w:rFonts w:ascii="Aptos" w:hAnsi="Aptos" w:eastAsia="Aptos" w:cs="Aptos"/>
          <w:b w:val="0"/>
          <w:bCs w:val="0"/>
          <w:i w:val="0"/>
          <w:iCs w:val="0"/>
          <w:caps w:val="0"/>
          <w:smallCaps w:val="0"/>
          <w:noProof w:val="0"/>
          <w:color w:val="4C5A73"/>
          <w:sz w:val="24"/>
          <w:szCs w:val="24"/>
          <w:lang w:val="en-GB"/>
        </w:rPr>
        <w:t xml:space="preserve">, S., Ó </w:t>
      </w:r>
      <w:r w:rsidRPr="33C5E135" w:rsidR="0841199D">
        <w:rPr>
          <w:rFonts w:ascii="Aptos" w:hAnsi="Aptos" w:eastAsia="Aptos" w:cs="Aptos"/>
          <w:b w:val="0"/>
          <w:bCs w:val="0"/>
          <w:i w:val="0"/>
          <w:iCs w:val="0"/>
          <w:caps w:val="0"/>
          <w:smallCaps w:val="0"/>
          <w:noProof w:val="0"/>
          <w:color w:val="4C5A73"/>
          <w:sz w:val="24"/>
          <w:szCs w:val="24"/>
          <w:lang w:val="en-GB"/>
        </w:rPr>
        <w:t>Fathaigh</w:t>
      </w:r>
      <w:r w:rsidRPr="33C5E135" w:rsidR="0841199D">
        <w:rPr>
          <w:rFonts w:ascii="Aptos" w:hAnsi="Aptos" w:eastAsia="Aptos" w:cs="Aptos"/>
          <w:b w:val="0"/>
          <w:bCs w:val="0"/>
          <w:i w:val="0"/>
          <w:iCs w:val="0"/>
          <w:caps w:val="0"/>
          <w:smallCaps w:val="0"/>
          <w:noProof w:val="0"/>
          <w:color w:val="4C5A73"/>
          <w:sz w:val="24"/>
          <w:szCs w:val="24"/>
          <w:lang w:val="en-GB"/>
        </w:rPr>
        <w:t>, R., Irion, K., Dobber, T., Bodó, B., &amp; de Vreese, C. H. (2018). Online political microtargeting: Promises and</w:t>
      </w:r>
      <w:r>
        <w:br/>
      </w:r>
      <w:r w:rsidRPr="33C5E135" w:rsidR="0841199D">
        <w:rPr>
          <w:rFonts w:ascii="Aptos" w:hAnsi="Aptos" w:eastAsia="Aptos" w:cs="Aptos"/>
          <w:b w:val="0"/>
          <w:bCs w:val="0"/>
          <w:i w:val="0"/>
          <w:iCs w:val="0"/>
          <w:caps w:val="0"/>
          <w:smallCaps w:val="0"/>
          <w:noProof w:val="0"/>
          <w:color w:val="4C5A73"/>
          <w:sz w:val="24"/>
          <w:szCs w:val="24"/>
          <w:lang w:val="en-GB"/>
        </w:rPr>
        <w:t xml:space="preserve">threats for democracy. Utrecht Law Review, 14(1), 82–96. </w:t>
      </w:r>
      <w:hyperlink r:id="R03415a22877d4c3a">
        <w:r w:rsidRPr="33C5E135" w:rsidR="0841199D">
          <w:rPr>
            <w:rStyle w:val="Hyperlink"/>
            <w:b w:val="0"/>
            <w:bCs w:val="0"/>
            <w:i w:val="0"/>
            <w:iCs w:val="0"/>
            <w:caps w:val="0"/>
            <w:smallCaps w:val="0"/>
            <w:noProof w:val="0"/>
            <w:lang w:val="en-GB"/>
          </w:rPr>
          <w:t>https://doi.org/10.18352/ulr.420</w:t>
        </w:r>
      </w:hyperlink>
      <w:r w:rsidRPr="33C5E135" w:rsidR="0841199D">
        <w:rPr>
          <w:rFonts w:ascii="Aptos" w:hAnsi="Aptos" w:eastAsia="Aptos" w:cs="Aptos"/>
          <w:b w:val="0"/>
          <w:bCs w:val="0"/>
          <w:i w:val="0"/>
          <w:iCs w:val="0"/>
          <w:caps w:val="0"/>
          <w:smallCaps w:val="0"/>
          <w:noProof w:val="0"/>
          <w:color w:val="4C5A73"/>
          <w:sz w:val="24"/>
          <w:szCs w:val="24"/>
          <w:lang w:val="en-GB"/>
        </w:rPr>
        <w:t>.</w:t>
      </w:r>
      <w:r>
        <w:br/>
      </w:r>
      <w:r>
        <w:br/>
      </w:r>
      <w:r w:rsidRPr="33C5E135" w:rsidR="17BD8658">
        <w:rPr>
          <w:rFonts w:ascii="Aptos" w:hAnsi="Aptos" w:eastAsia="Aptos" w:cs="Aptos"/>
          <w:b w:val="0"/>
          <w:bCs w:val="0"/>
          <w:i w:val="0"/>
          <w:iCs w:val="0"/>
          <w:caps w:val="0"/>
          <w:smallCaps w:val="0"/>
          <w:noProof w:val="0"/>
          <w:color w:val="4C5A73"/>
          <w:sz w:val="24"/>
          <w:szCs w:val="24"/>
          <w:lang w:val="en-GB"/>
        </w:rPr>
        <w:t>--</w:t>
      </w:r>
      <w:r>
        <w:br/>
      </w:r>
      <w:r>
        <w:br/>
      </w:r>
      <w:r w:rsidRPr="33C5E135" w:rsidR="1B84A75F">
        <w:rPr>
          <w:rFonts w:ascii="Aptos" w:hAnsi="Aptos" w:eastAsia="Aptos" w:cs="Aptos"/>
          <w:b w:val="0"/>
          <w:bCs w:val="0"/>
          <w:i w:val="0"/>
          <w:iCs w:val="0"/>
          <w:caps w:val="0"/>
          <w:smallCaps w:val="0"/>
          <w:noProof w:val="0"/>
          <w:color w:val="4C5A73"/>
          <w:sz w:val="24"/>
          <w:szCs w:val="24"/>
          <w:lang w:val="en-GB"/>
        </w:rPr>
        <w:t>PR2:</w:t>
      </w:r>
      <w:r>
        <w:br/>
      </w:r>
      <w:r w:rsidRPr="33C5E135" w:rsidR="659B294D">
        <w:rPr>
          <w:rFonts w:ascii="Aptos" w:hAnsi="Aptos" w:eastAsia="Aptos" w:cs="Aptos"/>
          <w:b w:val="0"/>
          <w:bCs w:val="0"/>
          <w:i w:val="0"/>
          <w:iCs w:val="0"/>
          <w:caps w:val="0"/>
          <w:smallCaps w:val="0"/>
          <w:noProof w:val="0"/>
          <w:color w:val="4C5A73"/>
          <w:sz w:val="24"/>
          <w:szCs w:val="24"/>
          <w:lang w:val="en-GB"/>
        </w:rPr>
        <w:t>Hi Sharon, thank you for your essay, I found it a really interesting read!</w:t>
      </w:r>
      <w:r>
        <w:br/>
      </w:r>
      <w:r w:rsidRPr="33C5E135" w:rsidR="659B294D">
        <w:rPr>
          <w:rFonts w:ascii="Aptos" w:hAnsi="Aptos" w:eastAsia="Aptos" w:cs="Aptos"/>
          <w:b w:val="0"/>
          <w:bCs w:val="0"/>
          <w:i w:val="0"/>
          <w:iCs w:val="0"/>
          <w:caps w:val="0"/>
          <w:smallCaps w:val="0"/>
          <w:noProof w:val="0"/>
          <w:color w:val="4C5A73"/>
          <w:sz w:val="24"/>
          <w:szCs w:val="24"/>
          <w:lang w:val="en-GB"/>
        </w:rPr>
        <w:t>This paper gives a logical and relevant analysis of psychographic targeting through the complementary perspectives of Grice’s (1975) Cooperative Principle and Halpern’s (1998) critical-thinking framework. Its main strength is the recognition that personalised political communication is not always unethical. The difference between targeting that is accurate, relevant and transparent and targeting that becomes manipulative provides a useful foundation. The discussion also joins communication practices with the quality of reasoning supporting data-driven decision-making.</w:t>
      </w:r>
      <w:r>
        <w:br/>
      </w:r>
      <w:r w:rsidRPr="33C5E135" w:rsidR="659B294D">
        <w:rPr>
          <w:rFonts w:ascii="Aptos" w:hAnsi="Aptos" w:eastAsia="Aptos" w:cs="Aptos"/>
          <w:b w:val="0"/>
          <w:bCs w:val="0"/>
          <w:i w:val="0"/>
          <w:iCs w:val="0"/>
          <w:caps w:val="0"/>
          <w:smallCaps w:val="0"/>
          <w:noProof w:val="0"/>
          <w:color w:val="4C5A73"/>
          <w:sz w:val="24"/>
          <w:szCs w:val="24"/>
          <w:lang w:val="en-GB"/>
        </w:rPr>
        <w:t>The treatment of Grice’s maxims is usually persuasive, particularly the application of quantity and quality to political messaging. However, the analysis could engage more critically with the theoretical limitations of applying Grice’s conversational framework to mass-mediated political advertising. Grice’s maxims were made to explain cooperative conversational interaction, whereas political advertising is persuasive and often involves strategic selection. Because of this, a violation of a maxim does not necessarily demonstrate unethical communication. Greater attention to this distinction would strengthen the argument.</w:t>
      </w:r>
      <w:r>
        <w:br/>
      </w:r>
      <w:r w:rsidRPr="33C5E135" w:rsidR="659B294D">
        <w:rPr>
          <w:rFonts w:ascii="Aptos" w:hAnsi="Aptos" w:eastAsia="Aptos" w:cs="Aptos"/>
          <w:b w:val="0"/>
          <w:bCs w:val="0"/>
          <w:i w:val="0"/>
          <w:iCs w:val="0"/>
          <w:caps w:val="0"/>
          <w:smallCaps w:val="0"/>
          <w:noProof w:val="0"/>
          <w:color w:val="4C5A73"/>
          <w:sz w:val="24"/>
          <w:szCs w:val="24"/>
          <w:lang w:val="en-GB"/>
        </w:rPr>
        <w:t>The debate of Halpern is a particular strength because it moves beyond communication outcomes to consider the reasoning processes of advertising practitioners. The incorporation of Abrami et al.’s (2015) meta-analysis supports the claim that critical-thinking instruction can be effective. Nevertheless, the paper could distinguish more clearly between having critical-thinking skills and having the ability to apply them. This distinction is important given the commercial and political reasons that can prioritise campaign effectiveness over ethical reflection.</w:t>
      </w:r>
      <w:r>
        <w:br/>
      </w:r>
      <w:r w:rsidRPr="33C5E135" w:rsidR="659B294D">
        <w:rPr>
          <w:rFonts w:ascii="Aptos" w:hAnsi="Aptos" w:eastAsia="Aptos" w:cs="Aptos"/>
          <w:b w:val="0"/>
          <w:bCs w:val="0"/>
          <w:i w:val="0"/>
          <w:iCs w:val="0"/>
          <w:caps w:val="0"/>
          <w:smallCaps w:val="0"/>
          <w:noProof w:val="0"/>
          <w:color w:val="4C5A73"/>
          <w:sz w:val="24"/>
          <w:szCs w:val="24"/>
          <w:lang w:val="en-GB"/>
        </w:rPr>
        <w:t>The use of Bakir (2020) and Zarouali et al. (2024) gives balance by acknowledging both risks and potential benefits of psychological targeting. However, the argument would be stronger by explicitly comparing the methodological limitations of self-reported personality measures with algorithmically suggested characteristics.</w:t>
      </w:r>
      <w:r>
        <w:br/>
      </w:r>
      <w:r w:rsidRPr="33C5E135" w:rsidR="659B294D">
        <w:rPr>
          <w:rFonts w:ascii="Aptos" w:hAnsi="Aptos" w:eastAsia="Aptos" w:cs="Aptos"/>
          <w:b w:val="0"/>
          <w:bCs w:val="0"/>
          <w:i w:val="0"/>
          <w:iCs w:val="0"/>
          <w:caps w:val="0"/>
          <w:smallCaps w:val="0"/>
          <w:noProof w:val="0"/>
          <w:color w:val="4C5A73"/>
          <w:sz w:val="24"/>
          <w:szCs w:val="24"/>
          <w:lang w:val="en-GB"/>
        </w:rPr>
        <w:t>Overall, Grice and Halpern work together rather than being interchangeable frameworks.</w:t>
      </w:r>
      <w:r>
        <w:br/>
      </w:r>
      <w:r w:rsidRPr="33C5E135" w:rsidR="659B294D">
        <w:rPr>
          <w:rFonts w:ascii="Aptos" w:hAnsi="Aptos" w:eastAsia="Aptos" w:cs="Aptos"/>
          <w:b w:val="0"/>
          <w:bCs w:val="0"/>
          <w:i w:val="0"/>
          <w:iCs w:val="0"/>
          <w:caps w:val="0"/>
          <w:smallCaps w:val="0"/>
          <w:noProof w:val="0"/>
          <w:color w:val="4C5A73"/>
          <w:sz w:val="24"/>
          <w:szCs w:val="24"/>
          <w:lang w:val="en-GB"/>
        </w:rPr>
        <w:t>References</w:t>
      </w:r>
      <w:r>
        <w:br/>
      </w:r>
      <w:r w:rsidRPr="33C5E135" w:rsidR="659B294D">
        <w:rPr>
          <w:rFonts w:ascii="Aptos" w:hAnsi="Aptos" w:eastAsia="Aptos" w:cs="Aptos"/>
          <w:b w:val="0"/>
          <w:bCs w:val="0"/>
          <w:i w:val="0"/>
          <w:iCs w:val="0"/>
          <w:caps w:val="0"/>
          <w:smallCaps w:val="0"/>
          <w:noProof w:val="0"/>
          <w:color w:val="4C5A73"/>
          <w:sz w:val="24"/>
          <w:szCs w:val="24"/>
          <w:lang w:val="en-GB"/>
        </w:rPr>
        <w:t>Abrami, P. C., Bernard, R. M., Borokhovski, E., Waddington, D. I., Wade, C. A., &amp; Persson, T. (2015). Strategies for teaching students to think critically: A meta-analysis. Review of Educational Research, 85(2), 275–314. https://doi.org/10.3102/0034654314551063</w:t>
      </w:r>
      <w:r>
        <w:br/>
      </w:r>
      <w:r w:rsidRPr="33C5E135" w:rsidR="659B294D">
        <w:rPr>
          <w:rFonts w:ascii="Aptos" w:hAnsi="Aptos" w:eastAsia="Aptos" w:cs="Aptos"/>
          <w:b w:val="0"/>
          <w:bCs w:val="0"/>
          <w:i w:val="0"/>
          <w:iCs w:val="0"/>
          <w:caps w:val="0"/>
          <w:smallCaps w:val="0"/>
          <w:noProof w:val="0"/>
          <w:color w:val="4C5A73"/>
          <w:sz w:val="24"/>
          <w:szCs w:val="24"/>
          <w:lang w:val="en-GB"/>
        </w:rPr>
        <w:t>Bakir, V. (2020). Psychological operations in digital political campaigns: Assessing Cambridge Analytica’s psychographic profiling and targeting. Frontiers in Communication, 5, Article 67. https://doi.org/10.3389/fcomm.2020.00067</w:t>
      </w:r>
      <w:r>
        <w:br/>
      </w:r>
      <w:r w:rsidRPr="33C5E135" w:rsidR="659B294D">
        <w:rPr>
          <w:rFonts w:ascii="Aptos" w:hAnsi="Aptos" w:eastAsia="Aptos" w:cs="Aptos"/>
          <w:b w:val="0"/>
          <w:bCs w:val="0"/>
          <w:i w:val="0"/>
          <w:iCs w:val="0"/>
          <w:caps w:val="0"/>
          <w:smallCaps w:val="0"/>
          <w:noProof w:val="0"/>
          <w:color w:val="4C5A73"/>
          <w:sz w:val="24"/>
          <w:szCs w:val="24"/>
          <w:lang w:val="en-GB"/>
        </w:rPr>
        <w:t>Grice, H. P. (1975). Logic and conversation. In P. Cole &amp; J. L. Morgan (Eds.), Syntax and semantics: Vol. 3. Speech acts (pp. 41–58). Academic Press.</w:t>
      </w:r>
      <w:r>
        <w:br/>
      </w:r>
      <w:r w:rsidRPr="33C5E135" w:rsidR="659B294D">
        <w:rPr>
          <w:rFonts w:ascii="Aptos" w:hAnsi="Aptos" w:eastAsia="Aptos" w:cs="Aptos"/>
          <w:b w:val="0"/>
          <w:bCs w:val="0"/>
          <w:i w:val="0"/>
          <w:iCs w:val="0"/>
          <w:caps w:val="0"/>
          <w:smallCaps w:val="0"/>
          <w:noProof w:val="0"/>
          <w:color w:val="4C5A73"/>
          <w:sz w:val="24"/>
          <w:szCs w:val="24"/>
          <w:lang w:val="en-GB"/>
        </w:rPr>
        <w:t>Halpern, D. F. (1998). Teaching critical thinking for transfer across domains: Dispositions, skills, structure training, and metacognitive monitoring. American Psychologist, 53(4), 449–455. https://doi.org/10.1037/0003-066X.53.4.449</w:t>
      </w:r>
      <w:r>
        <w:br/>
      </w:r>
      <w:r w:rsidRPr="33C5E135" w:rsidR="659B294D">
        <w:rPr>
          <w:rFonts w:ascii="Aptos" w:hAnsi="Aptos" w:eastAsia="Aptos" w:cs="Aptos"/>
          <w:b w:val="0"/>
          <w:bCs w:val="0"/>
          <w:i w:val="0"/>
          <w:iCs w:val="0"/>
          <w:caps w:val="0"/>
          <w:smallCaps w:val="0"/>
          <w:noProof w:val="0"/>
          <w:color w:val="4C5A73"/>
          <w:sz w:val="24"/>
          <w:szCs w:val="24"/>
          <w:lang w:val="en-GB"/>
        </w:rPr>
        <w:t>Zarouali, B., Dobber, T., &amp; Schreuder, J. (2024). Personality and susceptibility to political microtargeting: A comparison between a machine-learning and self-report approach. Computers in Human Behavior, 151, Article 108024. https://doi.org/10.1016/j.chb.2023.108024</w:t>
      </w:r>
      <w:r>
        <w:br/>
      </w:r>
    </w:p>
    <w:sectPr w:rsidR="000F0C37">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12BC12"/>
    <w:rsid w:val="000F0C37"/>
    <w:rsid w:val="00C0100D"/>
    <w:rsid w:val="0841199D"/>
    <w:rsid w:val="157B7768"/>
    <w:rsid w:val="17BD8658"/>
    <w:rsid w:val="1B84A75F"/>
    <w:rsid w:val="1F9AEE75"/>
    <w:rsid w:val="28C5696B"/>
    <w:rsid w:val="33C5E135"/>
    <w:rsid w:val="3583668F"/>
    <w:rsid w:val="3912BC12"/>
    <w:rsid w:val="53DB6433"/>
    <w:rsid w:val="57C89D67"/>
    <w:rsid w:val="5E4CE833"/>
    <w:rsid w:val="639E8276"/>
    <w:rsid w:val="659B294D"/>
    <w:rsid w:val="68403B78"/>
    <w:rsid w:val="732EB2A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BCFA"/>
  <w15:chartTrackingRefBased/>
  <w15:docId w15:val="{365EC183-E56E-4F44-BCC9-F606D2CB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3C5E13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5841&amp;course=15414" TargetMode="External" Id="R1bf56de2926e4b13" /><Relationship Type="http://schemas.openxmlformats.org/officeDocument/2006/relationships/hyperlink" Target="https://doi.org/10.3102/0034654314551063" TargetMode="External" Id="R3fe3c60da0d34507" /><Relationship Type="http://schemas.openxmlformats.org/officeDocument/2006/relationships/hyperlink" Target="https://doi.org/10.1037/0003-066X.53.4.449" TargetMode="External" Id="R68e854a27b504e95" /><Relationship Type="http://schemas.openxmlformats.org/officeDocument/2006/relationships/hyperlink" Target="https://doi.org/10.18352/ulr.420" TargetMode="External" Id="R03415a22877d4c3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2026-08-28T11:07:00.0000000Z</dcterms:created>
  <dcterms:modified xsi:type="dcterms:W3CDTF">2026-08-28T11:13:49.8536215Z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2026-08-28T11:07:55Z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c706c7df-7c72-4e3f-af6a-0f0510c6b3ca</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