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587A" w:rsidP="63FE71CB" w:rsidRDefault="005D587A" w14:paraId="5E5787A5" w14:textId="2670DE5F">
      <w:pPr>
        <w:pStyle w:val="Normal"/>
      </w:pPr>
      <w:hyperlink r:id="R57fd7ee1af83450e">
        <w:r w:rsidRPr="63FE71CB" w:rsidR="4AA82EE3">
          <w:rPr>
            <w:rStyle w:val="Hyperlink"/>
            <w:b w:val="0"/>
            <w:bCs w:val="0"/>
            <w:i w:val="0"/>
            <w:iCs w:val="0"/>
            <w:caps w:val="0"/>
            <w:smallCaps w:val="0"/>
            <w:strike w:val="0"/>
            <w:dstrike w:val="0"/>
            <w:noProof w:val="0"/>
            <w:color w:val="CD202C"/>
            <w:u w:val="single"/>
            <w:lang w:val="en-GB"/>
          </w:rPr>
          <w:t>Amreen Javed</w:t>
        </w:r>
      </w:hyperlink>
    </w:p>
    <w:p w:rsidR="63FE71CB" w:rsidP="63FE71CB" w:rsidRDefault="63FE71CB" w14:paraId="6C9CF6E7" w14:textId="24082A5B">
      <w:pPr>
        <w:pStyle w:val="Normal"/>
        <w:rPr>
          <w:b w:val="0"/>
          <w:bCs w:val="0"/>
          <w:i w:val="0"/>
          <w:iCs w:val="0"/>
          <w:caps w:val="0"/>
          <w:smallCaps w:val="0"/>
          <w:strike w:val="0"/>
          <w:dstrike w:val="0"/>
          <w:noProof w:val="0"/>
          <w:color w:val="CD202C"/>
          <w:u w:val="single"/>
          <w:lang w:val="en-GB"/>
        </w:rPr>
      </w:pPr>
    </w:p>
    <w:p w:rsidR="4AA82EE3" w:rsidP="63FE71CB" w:rsidRDefault="4AA82EE3" w14:paraId="1B9530EC" w14:textId="3CC26D8F">
      <w:pPr>
        <w:pStyle w:val="Normal"/>
        <w:shd w:val="clear" w:color="auto" w:fill="FFFFFF" w:themeFill="background1"/>
        <w:spacing w:before="0" w:beforeAutospacing="off" w:after="240" w:afterAutospacing="off"/>
        <w:jc w:val="left"/>
        <w:rPr>
          <w:b w:val="0"/>
          <w:bCs w:val="0"/>
          <w:i w:val="0"/>
          <w:iCs w:val="0"/>
          <w:caps w:val="0"/>
          <w:smallCaps w:val="0"/>
          <w:strike w:val="0"/>
          <w:dstrike w:val="0"/>
          <w:noProof w:val="0"/>
          <w:color w:val="CD202C"/>
          <w:u w:val="single"/>
          <w:lang w:val="en-GB"/>
        </w:rPr>
      </w:pPr>
      <w:r w:rsidRPr="63FE71CB" w:rsidR="4AA82EE3">
        <w:rPr>
          <w:b w:val="0"/>
          <w:bCs w:val="0"/>
          <w:i w:val="0"/>
          <w:iCs w:val="0"/>
          <w:caps w:val="0"/>
          <w:smallCaps w:val="0"/>
          <w:strike w:val="0"/>
          <w:dstrike w:val="0"/>
          <w:noProof w:val="0"/>
          <w:color w:val="CD202C"/>
          <w:u w:val="single"/>
          <w:lang w:val="en-GB"/>
        </w:rPr>
        <w:t>IP:</w:t>
      </w:r>
      <w:r>
        <w:br/>
      </w:r>
      <w:r>
        <w:br/>
      </w:r>
    </w:p>
    <w:p w:rsidR="38B17305" w:rsidP="63FE71CB" w:rsidRDefault="38B17305" w14:paraId="479BD3BE" w14:textId="00137726">
      <w:pPr>
        <w:shd w:val="clear" w:color="auto" w:fill="FFFFFF" w:themeFill="background1"/>
        <w:spacing w:before="0" w:beforeAutospacing="off" w:after="240" w:afterAutospacing="off"/>
        <w:jc w:val="left"/>
      </w:pPr>
      <w:r w:rsidRPr="63FE71CB" w:rsidR="38B17305">
        <w:rPr>
          <w:rFonts w:ascii="Aptos" w:hAnsi="Aptos" w:eastAsia="Aptos" w:cs="Aptos"/>
          <w:b w:val="0"/>
          <w:bCs w:val="0"/>
          <w:i w:val="0"/>
          <w:iCs w:val="0"/>
          <w:caps w:val="0"/>
          <w:smallCaps w:val="0"/>
          <w:noProof w:val="0"/>
          <w:color w:val="4C5A73"/>
          <w:sz w:val="24"/>
          <w:szCs w:val="24"/>
          <w:lang w:val="en-GB"/>
        </w:rPr>
        <w:t>The aimClear article explains how political campaigns use psychographic targeting to send personalised messages to different groups of voters based on their interests, values and behaviours. According to Grice (1975), effective communication follows four maxims: Quality (truthfulness), Quantity (sufficient information), Relation (relevance) and Manner (clarity). Psychographic targeting follows Relation because messages are tailored to particular audiences. However, it may conflict with Quantity when campaigns provide only information that is likely to persuade while omitting relevant information. It may also conflict with Quality if targeted advertisements contain misleading, exaggerated or unsupported claims. Manner may also be affected because different groups may receive different political messages without knowing what others are being shown. Therefore, psychographic targeting can prioritise persuasion over open and cooperative communication.</w:t>
      </w:r>
    </w:p>
    <w:p w:rsidR="38B17305" w:rsidP="63FE71CB" w:rsidRDefault="38B17305" w14:paraId="5BBBF842" w14:textId="25F5FB6E">
      <w:pPr>
        <w:shd w:val="clear" w:color="auto" w:fill="FFFFFF" w:themeFill="background1"/>
        <w:spacing w:before="0" w:beforeAutospacing="off" w:after="240" w:afterAutospacing="off"/>
        <w:jc w:val="left"/>
      </w:pPr>
      <w:r w:rsidRPr="63FE71CB" w:rsidR="38B17305">
        <w:rPr>
          <w:rFonts w:ascii="Aptos" w:hAnsi="Aptos" w:eastAsia="Aptos" w:cs="Aptos"/>
          <w:b w:val="0"/>
          <w:bCs w:val="0"/>
          <w:i w:val="0"/>
          <w:iCs w:val="0"/>
          <w:caps w:val="0"/>
          <w:smallCaps w:val="0"/>
          <w:noProof w:val="0"/>
          <w:color w:val="4C5A73"/>
          <w:sz w:val="24"/>
          <w:szCs w:val="24"/>
          <w:lang w:val="en-GB"/>
        </w:rPr>
        <w:t>Halpern (2014) describes critical thinking as purposeful thinking involving skills such as analysing information, evaluating evidence, problem-solving and making decisions. Political advertising agencies can use these skills when analysing voter data and identifying patterns in attitudes and behaviours. They can evaluate evidence from surveys and social media, compare different campaign strategies and assess which messages are most likely to achieve their objectives. Critical thinking can also help agencies recognise weaknesses in their assumptions and revise their strategies based on feedback. However, these skills should be used ethically. Agencies should critically evaluate whether their messages are accurate and whether targeting techniques could manipulate voters. Therefore, critical thinking can improve campaign effectiveness while also supporting more responsible political decision-making.</w:t>
      </w:r>
    </w:p>
    <w:p w:rsidR="38B17305" w:rsidP="63FE71CB" w:rsidRDefault="38B17305" w14:paraId="1E6CAAD7" w14:textId="353A961C">
      <w:pPr>
        <w:shd w:val="clear" w:color="auto" w:fill="FFFFFF" w:themeFill="background1"/>
        <w:spacing w:before="0" w:beforeAutospacing="off" w:after="240" w:afterAutospacing="off"/>
        <w:jc w:val="left"/>
      </w:pPr>
      <w:r w:rsidRPr="63FE71CB" w:rsidR="38B17305">
        <w:rPr>
          <w:rFonts w:ascii="Aptos" w:hAnsi="Aptos" w:eastAsia="Aptos" w:cs="Aptos"/>
          <w:b w:val="0"/>
          <w:bCs w:val="0"/>
          <w:i w:val="0"/>
          <w:iCs w:val="0"/>
          <w:caps w:val="0"/>
          <w:smallCaps w:val="0"/>
          <w:noProof w:val="0"/>
          <w:color w:val="4C5A73"/>
          <w:sz w:val="24"/>
          <w:szCs w:val="24"/>
          <w:lang w:val="en-GB"/>
        </w:rPr>
        <w:t>Research suggests that critical thinking can be developed through explicit instruction and practice. Abrami et al. (2015) conducted a meta-analysis of 341 effect sizes and found a positive effect of instructional interventions on critical-thinking skills. Their findings support the idea that critical thinking can be improved through teaching rather than simply being an innate ability. Halpern (2014) similarly argues that critical-thinking skills should be explicitly taught and practised in real-life situations. In political advertising agencies, these skills could be developed through professional training, analysing campaign evidence, practising decision-making and receiving feedback. Teams could also review previous campaigns, identify weaknesses and reflect on how their decisions could be improved. Repeated practice and reflection could therefore help agencies apply critical thinking effectively in real campaign situations.</w:t>
      </w:r>
    </w:p>
    <w:p w:rsidR="38B17305" w:rsidP="63FE71CB" w:rsidRDefault="38B17305" w14:paraId="35B2AE17" w14:textId="7564BDEC">
      <w:pPr>
        <w:shd w:val="clear" w:color="auto" w:fill="FFFFFF" w:themeFill="background1"/>
        <w:spacing w:before="0" w:beforeAutospacing="off" w:after="240" w:afterAutospacing="off"/>
        <w:jc w:val="left"/>
      </w:pPr>
      <w:r w:rsidRPr="63FE71CB" w:rsidR="38B17305">
        <w:rPr>
          <w:rFonts w:ascii="Aptos" w:hAnsi="Aptos" w:eastAsia="Aptos" w:cs="Aptos"/>
          <w:b w:val="0"/>
          <w:bCs w:val="0"/>
          <w:i w:val="0"/>
          <w:iCs w:val="0"/>
          <w:caps w:val="0"/>
          <w:smallCaps w:val="0"/>
          <w:noProof w:val="0"/>
          <w:color w:val="4C5A73"/>
          <w:sz w:val="24"/>
          <w:szCs w:val="24"/>
          <w:lang w:val="en-GB"/>
        </w:rPr>
        <w:t>Grice’s Cooperative Principle is relevant to the application of critical thinking because it provides a framework for considering whether political communication is truthful, relevant, sufficient and clear. Agencies may use critical thinking to analyse voter behaviour and develop persuasive campaigns, but they should also evaluate whether their messages meet these communication principles. For example, agencies should question whether claims are supported by evidence and whether important information has been omitted. If critical thinking is used only to maximise persuasion through selective information or emotional manipulation, it may conflict with the maxims of Quality and Quantity. Therefore, Grice’s principles can help ensure that critical thinking is used responsibly rather than solely to manipulate voters.</w:t>
      </w:r>
    </w:p>
    <w:p w:rsidR="38B17305" w:rsidP="63FE71CB" w:rsidRDefault="38B17305" w14:paraId="6DFB2896" w14:textId="60D9836C">
      <w:pPr>
        <w:shd w:val="clear" w:color="auto" w:fill="FFFFFF" w:themeFill="background1"/>
        <w:spacing w:before="0" w:beforeAutospacing="off" w:after="240" w:afterAutospacing="off"/>
        <w:jc w:val="left"/>
      </w:pPr>
      <w:r w:rsidRPr="63FE71CB" w:rsidR="38B17305">
        <w:rPr>
          <w:rFonts w:ascii="Aptos" w:hAnsi="Aptos" w:eastAsia="Aptos" w:cs="Aptos"/>
          <w:b w:val="0"/>
          <w:bCs w:val="0"/>
          <w:i w:val="0"/>
          <w:iCs w:val="0"/>
          <w:caps w:val="0"/>
          <w:smallCaps w:val="0"/>
          <w:noProof w:val="0"/>
          <w:color w:val="4C5A73"/>
          <w:sz w:val="24"/>
          <w:szCs w:val="24"/>
          <w:lang w:val="en-GB"/>
        </w:rPr>
        <w:t>Overall, psychographic targeting demonstrates how critical thinking can make political campaigns more effective, but Grice’s Cooperative Principle highlights the importance of truthful, relevant, sufficient and clear communication. Critical thinking can be learned through instruction and practice, but it should be applied ethically to support informed political decision-making.</w:t>
      </w:r>
    </w:p>
    <w:p w:rsidR="38B17305" w:rsidP="63FE71CB" w:rsidRDefault="38B17305" w14:paraId="0AF585E7" w14:textId="389CDC0F">
      <w:pPr>
        <w:shd w:val="clear" w:color="auto" w:fill="FFFFFF" w:themeFill="background1"/>
        <w:spacing w:before="0" w:beforeAutospacing="off" w:after="240" w:afterAutospacing="off"/>
        <w:jc w:val="left"/>
      </w:pPr>
      <w:r w:rsidRPr="63FE71CB" w:rsidR="38B17305">
        <w:rPr>
          <w:rFonts w:ascii="Aptos" w:hAnsi="Aptos" w:eastAsia="Aptos" w:cs="Aptos"/>
          <w:b w:val="1"/>
          <w:bCs w:val="1"/>
          <w:i w:val="0"/>
          <w:iCs w:val="0"/>
          <w:caps w:val="0"/>
          <w:smallCaps w:val="0"/>
          <w:noProof w:val="0"/>
          <w:color w:val="4C5A73"/>
          <w:sz w:val="24"/>
          <w:szCs w:val="24"/>
          <w:lang w:val="en-GB"/>
        </w:rPr>
        <w:t>References</w:t>
      </w:r>
    </w:p>
    <w:p w:rsidR="38B17305" w:rsidP="63FE71CB" w:rsidRDefault="38B17305" w14:paraId="662E44F7" w14:textId="35D78E66">
      <w:pPr>
        <w:shd w:val="clear" w:color="auto" w:fill="FFFFFF" w:themeFill="background1"/>
        <w:spacing w:before="0" w:beforeAutospacing="off" w:after="240" w:afterAutospacing="off"/>
        <w:jc w:val="left"/>
      </w:pPr>
      <w:r w:rsidRPr="63FE71CB" w:rsidR="38B17305">
        <w:rPr>
          <w:rFonts w:ascii="Aptos" w:hAnsi="Aptos" w:eastAsia="Aptos" w:cs="Aptos"/>
          <w:b w:val="0"/>
          <w:bCs w:val="0"/>
          <w:i w:val="0"/>
          <w:iCs w:val="0"/>
          <w:caps w:val="0"/>
          <w:smallCaps w:val="0"/>
          <w:noProof w:val="0"/>
          <w:color w:val="4C5A73"/>
          <w:sz w:val="24"/>
          <w:szCs w:val="24"/>
          <w:lang w:val="en-GB"/>
        </w:rPr>
        <w:t>Abrami, P. C., Bernard, R. M., Borokhovski, E., Waddington, D.I., Wade, C. A., &amp; Persson, T. (2015). Strategies for teaching students to think critically: A meta-analysis.</w:t>
      </w:r>
      <w:r w:rsidRPr="63FE71CB" w:rsidR="38B17305">
        <w:rPr>
          <w:rFonts w:ascii="Aptos" w:hAnsi="Aptos" w:eastAsia="Aptos" w:cs="Aptos"/>
          <w:b w:val="0"/>
          <w:bCs w:val="0"/>
          <w:i w:val="1"/>
          <w:iCs w:val="1"/>
          <w:caps w:val="0"/>
          <w:smallCaps w:val="0"/>
          <w:noProof w:val="0"/>
          <w:color w:val="4C5A73"/>
          <w:sz w:val="24"/>
          <w:szCs w:val="24"/>
          <w:lang w:val="en-GB"/>
        </w:rPr>
        <w:t xml:space="preserve"> Review of Educational Research, 85</w:t>
      </w:r>
      <w:r w:rsidRPr="63FE71CB" w:rsidR="38B17305">
        <w:rPr>
          <w:rFonts w:ascii="Aptos" w:hAnsi="Aptos" w:eastAsia="Aptos" w:cs="Aptos"/>
          <w:b w:val="0"/>
          <w:bCs w:val="0"/>
          <w:i w:val="0"/>
          <w:iCs w:val="0"/>
          <w:caps w:val="0"/>
          <w:smallCaps w:val="0"/>
          <w:noProof w:val="0"/>
          <w:color w:val="4C5A73"/>
          <w:sz w:val="24"/>
          <w:szCs w:val="24"/>
          <w:lang w:val="en-GB"/>
        </w:rPr>
        <w:t xml:space="preserve">(2), 275-314. </w:t>
      </w:r>
      <w:hyperlink r:id="R281cda04e98a48eb">
        <w:r w:rsidRPr="63FE71CB" w:rsidR="38B17305">
          <w:rPr>
            <w:rStyle w:val="Hyperlink"/>
            <w:b w:val="1"/>
            <w:bCs w:val="1"/>
            <w:i w:val="0"/>
            <w:iCs w:val="0"/>
            <w:caps w:val="0"/>
            <w:smallCaps w:val="0"/>
            <w:strike w:val="0"/>
            <w:dstrike w:val="0"/>
            <w:noProof w:val="0"/>
            <w:color w:val="622567"/>
            <w:u w:val="single"/>
            <w:lang w:val="en-GB"/>
          </w:rPr>
          <w:t>https://doi.org/10.3102/0034654314551063</w:t>
        </w:r>
      </w:hyperlink>
    </w:p>
    <w:p w:rsidR="38B17305" w:rsidP="63FE71CB" w:rsidRDefault="38B17305" w14:paraId="0799131B" w14:textId="63560019">
      <w:pPr>
        <w:shd w:val="clear" w:color="auto" w:fill="FFFFFF" w:themeFill="background1"/>
        <w:spacing w:before="0" w:beforeAutospacing="off" w:after="240" w:afterAutospacing="off"/>
        <w:jc w:val="left"/>
      </w:pPr>
      <w:r w:rsidRPr="63FE71CB" w:rsidR="38B17305">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63FE71CB" w:rsidR="38B17305">
        <w:rPr>
          <w:rFonts w:ascii="Aptos" w:hAnsi="Aptos" w:eastAsia="Aptos" w:cs="Aptos"/>
          <w:b w:val="0"/>
          <w:bCs w:val="0"/>
          <w:i w:val="1"/>
          <w:iCs w:val="1"/>
          <w:caps w:val="0"/>
          <w:smallCaps w:val="0"/>
          <w:noProof w:val="0"/>
          <w:color w:val="4C5A73"/>
          <w:sz w:val="24"/>
          <w:szCs w:val="24"/>
          <w:lang w:val="en-GB"/>
        </w:rPr>
        <w:t>Syntax and semantics: Vol. 3. Speech acts</w:t>
      </w:r>
      <w:r w:rsidRPr="63FE71CB" w:rsidR="38B17305">
        <w:rPr>
          <w:rFonts w:ascii="Aptos" w:hAnsi="Aptos" w:eastAsia="Aptos" w:cs="Aptos"/>
          <w:b w:val="0"/>
          <w:bCs w:val="0"/>
          <w:i w:val="0"/>
          <w:iCs w:val="0"/>
          <w:caps w:val="0"/>
          <w:smallCaps w:val="0"/>
          <w:noProof w:val="0"/>
          <w:color w:val="4C5A73"/>
          <w:sz w:val="24"/>
          <w:szCs w:val="24"/>
          <w:lang w:val="en-GB"/>
        </w:rPr>
        <w:t xml:space="preserve"> (pp. 41-58). Academic Press.</w:t>
      </w:r>
    </w:p>
    <w:p w:rsidR="38B17305" w:rsidP="63FE71CB" w:rsidRDefault="38B17305" w14:paraId="5262101D" w14:textId="2A9E58EB">
      <w:pPr>
        <w:shd w:val="clear" w:color="auto" w:fill="FFFFFF" w:themeFill="background1"/>
        <w:spacing w:before="0" w:beforeAutospacing="off" w:after="240" w:afterAutospacing="off"/>
        <w:jc w:val="left"/>
      </w:pPr>
      <w:r w:rsidRPr="63FE71CB" w:rsidR="38B17305">
        <w:rPr>
          <w:rFonts w:ascii="Aptos" w:hAnsi="Aptos" w:eastAsia="Aptos" w:cs="Aptos"/>
          <w:b w:val="0"/>
          <w:bCs w:val="0"/>
          <w:i w:val="0"/>
          <w:iCs w:val="0"/>
          <w:caps w:val="0"/>
          <w:smallCaps w:val="0"/>
          <w:noProof w:val="0"/>
          <w:color w:val="4C5A73"/>
          <w:sz w:val="24"/>
          <w:szCs w:val="24"/>
          <w:lang w:val="en-GB"/>
        </w:rPr>
        <w:t xml:space="preserve">Halpern, D. F. (2014). Thought and knowledge: </w:t>
      </w:r>
      <w:r w:rsidRPr="63FE71CB" w:rsidR="38B17305">
        <w:rPr>
          <w:rFonts w:ascii="Aptos" w:hAnsi="Aptos" w:eastAsia="Aptos" w:cs="Aptos"/>
          <w:b w:val="0"/>
          <w:bCs w:val="0"/>
          <w:i w:val="1"/>
          <w:iCs w:val="1"/>
          <w:caps w:val="0"/>
          <w:smallCaps w:val="0"/>
          <w:noProof w:val="0"/>
          <w:color w:val="4C5A73"/>
          <w:sz w:val="24"/>
          <w:szCs w:val="24"/>
          <w:lang w:val="en-GB"/>
        </w:rPr>
        <w:t>An introduction to critical thinking</w:t>
      </w:r>
      <w:r w:rsidRPr="63FE71CB" w:rsidR="38B17305">
        <w:rPr>
          <w:rFonts w:ascii="Aptos" w:hAnsi="Aptos" w:eastAsia="Aptos" w:cs="Aptos"/>
          <w:b w:val="0"/>
          <w:bCs w:val="0"/>
          <w:i w:val="0"/>
          <w:iCs w:val="0"/>
          <w:caps w:val="0"/>
          <w:smallCaps w:val="0"/>
          <w:noProof w:val="0"/>
          <w:color w:val="4C5A73"/>
          <w:sz w:val="24"/>
          <w:szCs w:val="24"/>
          <w:lang w:val="en-GB"/>
        </w:rPr>
        <w:t xml:space="preserve"> (5th ed.). Psychology Press. </w:t>
      </w:r>
      <w:hyperlink r:id="Rb69cd80d2ffe4f8d">
        <w:r w:rsidRPr="63FE71CB" w:rsidR="38B17305">
          <w:rPr>
            <w:rStyle w:val="Hyperlink"/>
            <w:b w:val="1"/>
            <w:bCs w:val="1"/>
            <w:i w:val="0"/>
            <w:iCs w:val="0"/>
            <w:caps w:val="0"/>
            <w:smallCaps w:val="0"/>
            <w:strike w:val="0"/>
            <w:dstrike w:val="0"/>
            <w:noProof w:val="0"/>
            <w:color w:val="622567"/>
            <w:u w:val="single"/>
            <w:lang w:val="en-GB"/>
          </w:rPr>
          <w:t>https://doi.org/10.4324/9781315885278</w:t>
        </w:r>
      </w:hyperlink>
    </w:p>
    <w:p w:rsidR="38B17305" w:rsidP="63FE71CB" w:rsidRDefault="38B17305" w14:paraId="2F0E6F05" w14:textId="71CD694E">
      <w:pPr>
        <w:shd w:val="clear" w:color="auto" w:fill="FFFFFF" w:themeFill="background1"/>
        <w:spacing w:before="0" w:beforeAutospacing="off" w:after="240" w:afterAutospacing="off"/>
        <w:jc w:val="left"/>
      </w:pPr>
      <w:r w:rsidRPr="63FE71CB" w:rsidR="38B17305">
        <w:rPr>
          <w:rFonts w:ascii="Aptos" w:hAnsi="Aptos" w:eastAsia="Aptos" w:cs="Aptos"/>
          <w:b w:val="0"/>
          <w:bCs w:val="0"/>
          <w:i w:val="0"/>
          <w:iCs w:val="0"/>
          <w:caps w:val="0"/>
          <w:smallCaps w:val="0"/>
          <w:noProof w:val="0"/>
          <w:color w:val="4C5A73"/>
          <w:sz w:val="24"/>
          <w:szCs w:val="24"/>
          <w:lang w:val="en-GB"/>
        </w:rPr>
        <w:t>Watterson, K. (2015, December 3). Aimclear’s psychographic targeting for political advertising agencies’ WINS.</w:t>
      </w:r>
      <w:r w:rsidRPr="63FE71CB" w:rsidR="38B17305">
        <w:rPr>
          <w:rFonts w:ascii="Aptos" w:hAnsi="Aptos" w:eastAsia="Aptos" w:cs="Aptos"/>
          <w:b w:val="0"/>
          <w:bCs w:val="0"/>
          <w:i w:val="1"/>
          <w:iCs w:val="1"/>
          <w:caps w:val="0"/>
          <w:smallCaps w:val="0"/>
          <w:noProof w:val="0"/>
          <w:color w:val="4C5A73"/>
          <w:sz w:val="24"/>
          <w:szCs w:val="24"/>
          <w:lang w:val="en-GB"/>
        </w:rPr>
        <w:t xml:space="preserve"> Search Engine Land.</w:t>
      </w:r>
      <w:r w:rsidRPr="63FE71CB" w:rsidR="38B17305">
        <w:rPr>
          <w:rFonts w:ascii="Aptos" w:hAnsi="Aptos" w:eastAsia="Aptos" w:cs="Aptos"/>
          <w:b w:val="0"/>
          <w:bCs w:val="0"/>
          <w:i w:val="0"/>
          <w:iCs w:val="0"/>
          <w:caps w:val="0"/>
          <w:smallCaps w:val="0"/>
          <w:noProof w:val="0"/>
          <w:color w:val="4C5A73"/>
          <w:sz w:val="24"/>
          <w:szCs w:val="24"/>
          <w:lang w:val="en-GB"/>
        </w:rPr>
        <w:t xml:space="preserve"> </w:t>
      </w:r>
      <w:hyperlink r:id="Rba1c02e8a1334dc2">
        <w:r w:rsidRPr="63FE71CB" w:rsidR="38B17305">
          <w:rPr>
            <w:rStyle w:val="Hyperlink"/>
            <w:b w:val="1"/>
            <w:bCs w:val="1"/>
            <w:i w:val="0"/>
            <w:iCs w:val="0"/>
            <w:caps w:val="0"/>
            <w:smallCaps w:val="0"/>
            <w:strike w:val="0"/>
            <w:dstrike w:val="0"/>
            <w:noProof w:val="0"/>
            <w:color w:val="622567"/>
            <w:u w:val="single"/>
            <w:lang w:val="en-GB"/>
          </w:rPr>
          <w:t>https://searchengineland.com/aimclears-psychographic-targeting-for-political-advertising-agencies-wins-237290</w:t>
        </w:r>
      </w:hyperlink>
    </w:p>
    <w:p w:rsidR="38B17305" w:rsidP="63FE71CB" w:rsidRDefault="38B17305" w14:paraId="30EC9D8C" w14:textId="18214E8A">
      <w:pPr>
        <w:pStyle w:val="Normal"/>
        <w:shd w:val="clear" w:color="auto" w:fill="FFFFFF" w:themeFill="background1"/>
        <w:spacing w:before="0" w:beforeAutospacing="off" w:after="240" w:afterAutospacing="off"/>
        <w:jc w:val="left"/>
      </w:pPr>
      <w:r w:rsidRPr="63FE71CB" w:rsidR="38B17305">
        <w:rPr>
          <w:b w:val="0"/>
          <w:bCs w:val="0"/>
          <w:i w:val="0"/>
          <w:iCs w:val="0"/>
          <w:caps w:val="0"/>
          <w:smallCaps w:val="0"/>
          <w:strike w:val="0"/>
          <w:dstrike w:val="0"/>
          <w:noProof w:val="0"/>
          <w:color w:val="CD202C"/>
          <w:u w:val="single"/>
          <w:lang w:val="en-GB"/>
        </w:rPr>
        <w:t>--</w:t>
      </w:r>
      <w:r>
        <w:br/>
      </w:r>
      <w:r>
        <w:br/>
      </w:r>
      <w:r w:rsidRPr="63FE71CB" w:rsidR="51665F21">
        <w:rPr>
          <w:b w:val="0"/>
          <w:bCs w:val="0"/>
          <w:i w:val="0"/>
          <w:iCs w:val="0"/>
          <w:caps w:val="0"/>
          <w:smallCaps w:val="0"/>
          <w:strike w:val="0"/>
          <w:dstrike w:val="0"/>
          <w:noProof w:val="0"/>
          <w:color w:val="CD202C"/>
          <w:u w:val="single"/>
          <w:lang w:val="en-GB"/>
        </w:rPr>
        <w:t>PR1:</w:t>
      </w:r>
      <w:r>
        <w:br/>
      </w:r>
      <w:r>
        <w:br/>
      </w:r>
      <w:r w:rsidRPr="63FE71CB" w:rsidR="24199DFE">
        <w:rPr>
          <w:rFonts w:ascii="Aptos" w:hAnsi="Aptos" w:eastAsia="Aptos" w:cs="Aptos"/>
          <w:b w:val="0"/>
          <w:bCs w:val="0"/>
          <w:i w:val="0"/>
          <w:iCs w:val="0"/>
          <w:caps w:val="0"/>
          <w:smallCaps w:val="0"/>
          <w:noProof w:val="0"/>
          <w:color w:val="4C5A73"/>
          <w:sz w:val="24"/>
          <w:szCs w:val="24"/>
          <w:lang w:val="en-GB"/>
        </w:rPr>
        <w:t>I agree with your argument that psychographic targeting creates an important tension between political persuasion and transparent communication. Your discussion of Grice’s Cooperative Principle particularly highlights how personalised political messages can provide information that is relevant to an individual while potentially limiting the amount or range of information they receive. This is important because voters may not be aware that different groups are receiving different political messages.</w:t>
      </w:r>
    </w:p>
    <w:p w:rsidR="24199DFE" w:rsidP="63FE71CB" w:rsidRDefault="24199DFE" w14:paraId="60445C74" w14:textId="1932A25A">
      <w:pPr>
        <w:shd w:val="clear" w:color="auto" w:fill="FFFFFF" w:themeFill="background1"/>
        <w:spacing w:before="0" w:beforeAutospacing="off" w:after="240" w:afterAutospacing="off"/>
        <w:jc w:val="left"/>
      </w:pPr>
      <w:r w:rsidRPr="63FE71CB" w:rsidR="24199DFE">
        <w:rPr>
          <w:rFonts w:ascii="Aptos" w:hAnsi="Aptos" w:eastAsia="Aptos" w:cs="Aptos"/>
          <w:b w:val="0"/>
          <w:bCs w:val="0"/>
          <w:i w:val="0"/>
          <w:iCs w:val="0"/>
          <w:caps w:val="0"/>
          <w:smallCaps w:val="0"/>
          <w:noProof w:val="0"/>
          <w:color w:val="4C5A73"/>
          <w:sz w:val="24"/>
          <w:szCs w:val="24"/>
          <w:lang w:val="en-GB"/>
        </w:rPr>
        <w:t>I also found your application of Halpern’s (1998) critical-thinking framework particularly relevant. Encouraging campaign teams to question evidence, identify assumptions and consider alternative interpretations could reduce the risk of misleading communication. This is supported by Abrami et al. (2015), whose meta-analysis found that critical-thinking instruction can produce meaningful improvements in critical-thinking skills and dispositions. Therefore, critical thinking could be useful not only for voters evaluating political information but also for professionals designing political campaigns.</w:t>
      </w:r>
    </w:p>
    <w:p w:rsidR="24199DFE" w:rsidP="63FE71CB" w:rsidRDefault="24199DFE" w14:paraId="02048A29" w14:textId="0BA80767">
      <w:pPr>
        <w:shd w:val="clear" w:color="auto" w:fill="FFFFFF" w:themeFill="background1"/>
        <w:spacing w:before="0" w:beforeAutospacing="off" w:after="240" w:afterAutospacing="off"/>
        <w:jc w:val="left"/>
      </w:pPr>
      <w:r w:rsidRPr="63FE71CB" w:rsidR="24199DFE">
        <w:rPr>
          <w:rFonts w:ascii="Aptos" w:hAnsi="Aptos" w:eastAsia="Aptos" w:cs="Aptos"/>
          <w:b w:val="0"/>
          <w:bCs w:val="0"/>
          <w:i w:val="0"/>
          <w:iCs w:val="0"/>
          <w:caps w:val="0"/>
          <w:smallCaps w:val="0"/>
          <w:noProof w:val="0"/>
          <w:color w:val="4C5A73"/>
          <w:sz w:val="24"/>
          <w:szCs w:val="24"/>
          <w:lang w:val="en-GB"/>
        </w:rPr>
        <w:t>Another important consideration is how personalised communication can influence persuasion. Research on the “persuasion knowledge” perspective suggests that people may respond differently when they recognise that a message is deliberately designed to influence them (Friestad &amp; Wright, 1994). Psychographic targeting can make this more complicated because users may not always recognise why particular political content has been selected for them. If individuals are unaware of the persuasive strategy being used, they may have fewer opportunities to critically evaluate the message and its underlying purpose.</w:t>
      </w:r>
    </w:p>
    <w:p w:rsidR="24199DFE" w:rsidP="63FE71CB" w:rsidRDefault="24199DFE" w14:paraId="4DF28A49" w14:textId="5FACE146">
      <w:pPr>
        <w:shd w:val="clear" w:color="auto" w:fill="FFFFFF" w:themeFill="background1"/>
        <w:spacing w:before="0" w:beforeAutospacing="off" w:after="240" w:afterAutospacing="off"/>
        <w:jc w:val="left"/>
      </w:pPr>
      <w:r w:rsidRPr="63FE71CB" w:rsidR="24199DFE">
        <w:rPr>
          <w:rFonts w:ascii="Aptos" w:hAnsi="Aptos" w:eastAsia="Aptos" w:cs="Aptos"/>
          <w:b w:val="0"/>
          <w:bCs w:val="0"/>
          <w:i w:val="0"/>
          <w:iCs w:val="0"/>
          <w:caps w:val="0"/>
          <w:smallCaps w:val="0"/>
          <w:noProof w:val="0"/>
          <w:color w:val="4C5A73"/>
          <w:sz w:val="24"/>
          <w:szCs w:val="24"/>
          <w:lang w:val="en-GB"/>
        </w:rPr>
        <w:t>I therefore agree that psychographic targeting is not necessarily incompatible with Grice’s Cooperative Principle, but the way it is implemented is important. Targeting becomes more ethically problematic when information is selectively presented, evidence is omitted, or different audiences receive contradictory messages without transparency. Applying critical-thinking strategies could help campaign agencies evaluate not only whether a message is persuasive, but also whether it provides voters with sufficient and reliable information to make informed decisions.</w:t>
      </w:r>
    </w:p>
    <w:p w:rsidR="24199DFE" w:rsidP="63FE71CB" w:rsidRDefault="24199DFE" w14:paraId="48BBBAB8" w14:textId="3301D28B">
      <w:pPr>
        <w:shd w:val="clear" w:color="auto" w:fill="FFFFFF" w:themeFill="background1"/>
        <w:spacing w:before="0" w:beforeAutospacing="off" w:after="240" w:afterAutospacing="off"/>
        <w:jc w:val="left"/>
      </w:pPr>
      <w:r w:rsidRPr="63FE71CB" w:rsidR="24199DFE">
        <w:rPr>
          <w:rFonts w:ascii="Aptos" w:hAnsi="Aptos" w:eastAsia="Aptos" w:cs="Aptos"/>
          <w:b w:val="0"/>
          <w:bCs w:val="0"/>
          <w:i w:val="0"/>
          <w:iCs w:val="0"/>
          <w:caps w:val="0"/>
          <w:smallCaps w:val="0"/>
          <w:noProof w:val="0"/>
          <w:color w:val="4C5A73"/>
          <w:sz w:val="24"/>
          <w:szCs w:val="24"/>
          <w:lang w:val="en-GB"/>
        </w:rPr>
        <w:t>Overall, your post effectively demonstrates that psychological principles can help us understand both the benefits and ethical challenges of targeted political communication.</w:t>
      </w:r>
    </w:p>
    <w:p w:rsidR="24199DFE" w:rsidP="63FE71CB" w:rsidRDefault="24199DFE" w14:paraId="7E06691B" w14:textId="03833E06">
      <w:pPr>
        <w:shd w:val="clear" w:color="auto" w:fill="FFFFFF" w:themeFill="background1"/>
        <w:spacing w:before="0" w:beforeAutospacing="off" w:after="240" w:afterAutospacing="off"/>
        <w:jc w:val="left"/>
      </w:pPr>
      <w:r w:rsidRPr="63FE71CB" w:rsidR="24199DFE">
        <w:rPr>
          <w:rFonts w:ascii="Aptos" w:hAnsi="Aptos" w:eastAsia="Aptos" w:cs="Aptos"/>
          <w:b w:val="0"/>
          <w:bCs w:val="0"/>
          <w:i w:val="0"/>
          <w:iCs w:val="0"/>
          <w:caps w:val="0"/>
          <w:smallCaps w:val="0"/>
          <w:noProof w:val="0"/>
          <w:color w:val="4C5A73"/>
          <w:sz w:val="24"/>
          <w:szCs w:val="24"/>
          <w:lang w:val="en-GB"/>
        </w:rPr>
        <w:t>References</w:t>
      </w:r>
    </w:p>
    <w:p w:rsidR="24199DFE" w:rsidP="63FE71CB" w:rsidRDefault="24199DFE" w14:paraId="15BEF1B7" w14:textId="7F5949D8">
      <w:pPr>
        <w:shd w:val="clear" w:color="auto" w:fill="FFFFFF" w:themeFill="background1"/>
        <w:spacing w:before="0" w:beforeAutospacing="off" w:after="240" w:afterAutospacing="off"/>
        <w:jc w:val="left"/>
      </w:pPr>
      <w:r w:rsidRPr="63FE71CB" w:rsidR="24199DFE">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w:t>
      </w:r>
      <w:r w:rsidRPr="63FE71CB" w:rsidR="24199DFE">
        <w:rPr>
          <w:rFonts w:ascii="Aptos" w:hAnsi="Aptos" w:eastAsia="Aptos" w:cs="Aptos"/>
          <w:b w:val="0"/>
          <w:bCs w:val="0"/>
          <w:i w:val="1"/>
          <w:iCs w:val="1"/>
          <w:caps w:val="0"/>
          <w:smallCaps w:val="0"/>
          <w:noProof w:val="0"/>
          <w:color w:val="4C5A73"/>
          <w:sz w:val="24"/>
          <w:szCs w:val="24"/>
          <w:lang w:val="en-GB"/>
        </w:rPr>
        <w:t>Review of Educational Research, 85(</w:t>
      </w:r>
      <w:r w:rsidRPr="63FE71CB" w:rsidR="24199DFE">
        <w:rPr>
          <w:rFonts w:ascii="Aptos" w:hAnsi="Aptos" w:eastAsia="Aptos" w:cs="Aptos"/>
          <w:b w:val="0"/>
          <w:bCs w:val="0"/>
          <w:i w:val="0"/>
          <w:iCs w:val="0"/>
          <w:caps w:val="0"/>
          <w:smallCaps w:val="0"/>
          <w:noProof w:val="0"/>
          <w:color w:val="4C5A73"/>
          <w:sz w:val="24"/>
          <w:szCs w:val="24"/>
          <w:lang w:val="en-GB"/>
        </w:rPr>
        <w:t xml:space="preserve">2), 275–314. </w:t>
      </w:r>
      <w:hyperlink r:id="Rfd64e3eb8aa04585">
        <w:r w:rsidRPr="63FE71CB" w:rsidR="24199DFE">
          <w:rPr>
            <w:rStyle w:val="Hyperlink"/>
            <w:b w:val="0"/>
            <w:bCs w:val="0"/>
            <w:i w:val="0"/>
            <w:iCs w:val="0"/>
            <w:caps w:val="0"/>
            <w:smallCaps w:val="0"/>
            <w:noProof w:val="0"/>
            <w:lang w:val="en-GB"/>
          </w:rPr>
          <w:t>https://doi.org/10.3102/0034654314551063</w:t>
        </w:r>
      </w:hyperlink>
    </w:p>
    <w:p w:rsidR="24199DFE" w:rsidP="63FE71CB" w:rsidRDefault="24199DFE" w14:paraId="5C7FF7D7" w14:textId="294A8780">
      <w:pPr>
        <w:shd w:val="clear" w:color="auto" w:fill="FFFFFF" w:themeFill="background1"/>
        <w:spacing w:before="0" w:beforeAutospacing="off" w:after="240" w:afterAutospacing="off"/>
        <w:jc w:val="left"/>
      </w:pPr>
      <w:r w:rsidRPr="63FE71CB" w:rsidR="24199DFE">
        <w:rPr>
          <w:rFonts w:ascii="Aptos" w:hAnsi="Aptos" w:eastAsia="Aptos" w:cs="Aptos"/>
          <w:b w:val="0"/>
          <w:bCs w:val="0"/>
          <w:i w:val="0"/>
          <w:iCs w:val="0"/>
          <w:caps w:val="0"/>
          <w:smallCaps w:val="0"/>
          <w:noProof w:val="0"/>
          <w:color w:val="4C5A73"/>
          <w:sz w:val="24"/>
          <w:szCs w:val="24"/>
          <w:lang w:val="en-GB"/>
        </w:rPr>
        <w:t xml:space="preserve">Friestad, M., &amp; Wright, P. (1994). The persuasion knowledge model: How people cope with persuasion attempts. </w:t>
      </w:r>
      <w:r w:rsidRPr="63FE71CB" w:rsidR="24199DFE">
        <w:rPr>
          <w:rFonts w:ascii="Aptos" w:hAnsi="Aptos" w:eastAsia="Aptos" w:cs="Aptos"/>
          <w:b w:val="0"/>
          <w:bCs w:val="0"/>
          <w:i w:val="1"/>
          <w:iCs w:val="1"/>
          <w:caps w:val="0"/>
          <w:smallCaps w:val="0"/>
          <w:noProof w:val="0"/>
          <w:color w:val="4C5A73"/>
          <w:sz w:val="24"/>
          <w:szCs w:val="24"/>
          <w:lang w:val="en-GB"/>
        </w:rPr>
        <w:t>Journal of Consumer Research, 21</w:t>
      </w:r>
      <w:r w:rsidRPr="63FE71CB" w:rsidR="24199DFE">
        <w:rPr>
          <w:rFonts w:ascii="Aptos" w:hAnsi="Aptos" w:eastAsia="Aptos" w:cs="Aptos"/>
          <w:b w:val="0"/>
          <w:bCs w:val="0"/>
          <w:i w:val="0"/>
          <w:iCs w:val="0"/>
          <w:caps w:val="0"/>
          <w:smallCaps w:val="0"/>
          <w:noProof w:val="0"/>
          <w:color w:val="4C5A73"/>
          <w:sz w:val="24"/>
          <w:szCs w:val="24"/>
          <w:lang w:val="en-GB"/>
        </w:rPr>
        <w:t xml:space="preserve">(1), 1–31. </w:t>
      </w:r>
      <w:hyperlink r:id="Rfd06e53998944a77">
        <w:r w:rsidRPr="63FE71CB" w:rsidR="24199DFE">
          <w:rPr>
            <w:rStyle w:val="Hyperlink"/>
            <w:b w:val="0"/>
            <w:bCs w:val="0"/>
            <w:i w:val="0"/>
            <w:iCs w:val="0"/>
            <w:caps w:val="0"/>
            <w:smallCaps w:val="0"/>
            <w:noProof w:val="0"/>
            <w:lang w:val="en-GB"/>
          </w:rPr>
          <w:t>https://doi.org/10.1086/209380</w:t>
        </w:r>
      </w:hyperlink>
    </w:p>
    <w:p w:rsidR="24199DFE" w:rsidP="63FE71CB" w:rsidRDefault="24199DFE" w14:paraId="20308B33" w14:textId="13FA5B54">
      <w:pPr>
        <w:shd w:val="clear" w:color="auto" w:fill="FFFFFF" w:themeFill="background1"/>
        <w:spacing w:before="0" w:beforeAutospacing="off" w:after="240" w:afterAutospacing="off"/>
        <w:jc w:val="left"/>
      </w:pPr>
      <w:r w:rsidRPr="63FE71CB" w:rsidR="24199DFE">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63FE71CB" w:rsidR="24199DFE">
        <w:rPr>
          <w:rFonts w:ascii="Aptos" w:hAnsi="Aptos" w:eastAsia="Aptos" w:cs="Aptos"/>
          <w:b w:val="0"/>
          <w:bCs w:val="0"/>
          <w:i w:val="1"/>
          <w:iCs w:val="1"/>
          <w:caps w:val="0"/>
          <w:smallCaps w:val="0"/>
          <w:noProof w:val="0"/>
          <w:color w:val="4C5A73"/>
          <w:sz w:val="24"/>
          <w:szCs w:val="24"/>
          <w:lang w:val="en-GB"/>
        </w:rPr>
        <w:t>Syntax and semantics: Vol. 3. Speech acts</w:t>
      </w:r>
      <w:r w:rsidRPr="63FE71CB" w:rsidR="24199DFE">
        <w:rPr>
          <w:rFonts w:ascii="Aptos" w:hAnsi="Aptos" w:eastAsia="Aptos" w:cs="Aptos"/>
          <w:b w:val="0"/>
          <w:bCs w:val="0"/>
          <w:i w:val="0"/>
          <w:iCs w:val="0"/>
          <w:caps w:val="0"/>
          <w:smallCaps w:val="0"/>
          <w:noProof w:val="0"/>
          <w:color w:val="4C5A73"/>
          <w:sz w:val="24"/>
          <w:szCs w:val="24"/>
          <w:lang w:val="en-GB"/>
        </w:rPr>
        <w:t xml:space="preserve"> (pp. 41–58). Academic Press.</w:t>
      </w:r>
    </w:p>
    <w:p w:rsidR="24199DFE" w:rsidP="63FE71CB" w:rsidRDefault="24199DFE" w14:paraId="35D0915B" w14:textId="1DCCE8C3">
      <w:pPr>
        <w:shd w:val="clear" w:color="auto" w:fill="FFFFFF" w:themeFill="background1"/>
        <w:spacing w:before="0" w:beforeAutospacing="off" w:after="240" w:afterAutospacing="off"/>
        <w:jc w:val="left"/>
      </w:pPr>
      <w:r w:rsidRPr="63FE71CB" w:rsidR="24199DFE">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 skills, structure training, and metacognitive monitoring. </w:t>
      </w:r>
      <w:r w:rsidRPr="63FE71CB" w:rsidR="24199DFE">
        <w:rPr>
          <w:rFonts w:ascii="Aptos" w:hAnsi="Aptos" w:eastAsia="Aptos" w:cs="Aptos"/>
          <w:b w:val="0"/>
          <w:bCs w:val="0"/>
          <w:i w:val="1"/>
          <w:iCs w:val="1"/>
          <w:caps w:val="0"/>
          <w:smallCaps w:val="0"/>
          <w:noProof w:val="0"/>
          <w:color w:val="4C5A73"/>
          <w:sz w:val="24"/>
          <w:szCs w:val="24"/>
          <w:lang w:val="en-GB"/>
        </w:rPr>
        <w:t>American Psychologist, 53</w:t>
      </w:r>
      <w:r w:rsidRPr="63FE71CB" w:rsidR="24199DFE">
        <w:rPr>
          <w:rFonts w:ascii="Aptos" w:hAnsi="Aptos" w:eastAsia="Aptos" w:cs="Aptos"/>
          <w:b w:val="0"/>
          <w:bCs w:val="0"/>
          <w:i w:val="0"/>
          <w:iCs w:val="0"/>
          <w:caps w:val="0"/>
          <w:smallCaps w:val="0"/>
          <w:noProof w:val="0"/>
          <w:color w:val="4C5A73"/>
          <w:sz w:val="24"/>
          <w:szCs w:val="24"/>
          <w:lang w:val="en-GB"/>
        </w:rPr>
        <w:t>(4), 449–455.</w:t>
      </w:r>
    </w:p>
    <w:p w:rsidR="24199DFE" w:rsidP="63FE71CB" w:rsidRDefault="24199DFE" w14:paraId="1EE437E1" w14:textId="5F9245F0">
      <w:pPr>
        <w:pStyle w:val="Normal"/>
        <w:shd w:val="clear" w:color="auto" w:fill="FFFFFF" w:themeFill="background1"/>
        <w:spacing w:before="0" w:beforeAutospacing="off" w:after="240" w:afterAutospacing="off"/>
        <w:jc w:val="left"/>
        <w:rPr>
          <w:b w:val="0"/>
          <w:bCs w:val="0"/>
          <w:i w:val="0"/>
          <w:iCs w:val="0"/>
          <w:caps w:val="0"/>
          <w:smallCaps w:val="0"/>
          <w:strike w:val="0"/>
          <w:dstrike w:val="0"/>
          <w:noProof w:val="0"/>
          <w:color w:val="CD202C"/>
          <w:u w:val="single"/>
          <w:lang w:val="en-GB"/>
        </w:rPr>
      </w:pPr>
      <w:r w:rsidRPr="63FE71CB" w:rsidR="24199DFE">
        <w:rPr>
          <w:b w:val="0"/>
          <w:bCs w:val="0"/>
          <w:i w:val="0"/>
          <w:iCs w:val="0"/>
          <w:caps w:val="0"/>
          <w:smallCaps w:val="0"/>
          <w:strike w:val="0"/>
          <w:dstrike w:val="0"/>
          <w:noProof w:val="0"/>
          <w:color w:val="CD202C"/>
          <w:u w:val="single"/>
          <w:lang w:val="en-GB"/>
        </w:rPr>
        <w:t>--</w:t>
      </w:r>
      <w:r>
        <w:br/>
      </w:r>
      <w:r>
        <w:br/>
      </w:r>
      <w:r w:rsidRPr="63FE71CB" w:rsidR="6991DAB0">
        <w:rPr>
          <w:b w:val="0"/>
          <w:bCs w:val="0"/>
          <w:i w:val="0"/>
          <w:iCs w:val="0"/>
          <w:caps w:val="0"/>
          <w:smallCaps w:val="0"/>
          <w:strike w:val="0"/>
          <w:dstrike w:val="0"/>
          <w:noProof w:val="0"/>
          <w:color w:val="CD202C"/>
          <w:u w:val="single"/>
          <w:lang w:val="en-GB"/>
        </w:rPr>
        <w:t>PR2:</w:t>
      </w:r>
      <w:r>
        <w:br/>
      </w:r>
      <w:r>
        <w:br/>
      </w:r>
    </w:p>
    <w:p w:rsidR="55B0008D" w:rsidP="63FE71CB" w:rsidRDefault="55B0008D" w14:paraId="2129CD2B" w14:textId="070C644C">
      <w:pPr>
        <w:shd w:val="clear" w:color="auto" w:fill="FFFFFF" w:themeFill="background1"/>
        <w:spacing w:before="0" w:beforeAutospacing="off" w:after="240" w:afterAutospacing="off"/>
        <w:jc w:val="left"/>
      </w:pPr>
      <w:r w:rsidRPr="63FE71CB" w:rsidR="55B0008D">
        <w:rPr>
          <w:rFonts w:ascii="Aptos" w:hAnsi="Aptos" w:eastAsia="Aptos" w:cs="Aptos"/>
          <w:b w:val="0"/>
          <w:bCs w:val="0"/>
          <w:i w:val="0"/>
          <w:iCs w:val="0"/>
          <w:caps w:val="0"/>
          <w:smallCaps w:val="0"/>
          <w:noProof w:val="0"/>
          <w:color w:val="4C5A73"/>
          <w:sz w:val="24"/>
          <w:szCs w:val="24"/>
          <w:lang w:val="en-GB"/>
        </w:rPr>
        <w:t>I agree with your argument that psychographic targeting highlights the tension between effective persuasion and genuinely cooperative communication. I particularly liked your point that psychographic targeting may satisfy Grice’s maxim of relation while simultaneously creating problems for quantity, quality and manner. A message can be highly relevant to an individual but still provide incomplete information or make it unclear why that particular message has been presented to them.</w:t>
      </w:r>
    </w:p>
    <w:p w:rsidR="55B0008D" w:rsidP="63FE71CB" w:rsidRDefault="55B0008D" w14:paraId="0CCBD92E" w14:textId="3D7A6A26">
      <w:pPr>
        <w:shd w:val="clear" w:color="auto" w:fill="FFFFFF" w:themeFill="background1"/>
        <w:spacing w:before="0" w:beforeAutospacing="off" w:after="240" w:afterAutospacing="off"/>
        <w:jc w:val="left"/>
      </w:pPr>
      <w:r w:rsidRPr="63FE71CB" w:rsidR="55B0008D">
        <w:rPr>
          <w:rFonts w:ascii="Aptos" w:hAnsi="Aptos" w:eastAsia="Aptos" w:cs="Aptos"/>
          <w:b w:val="0"/>
          <w:bCs w:val="0"/>
          <w:i w:val="0"/>
          <w:iCs w:val="0"/>
          <w:caps w:val="0"/>
          <w:smallCaps w:val="0"/>
          <w:noProof w:val="0"/>
          <w:color w:val="4C5A73"/>
          <w:sz w:val="24"/>
          <w:szCs w:val="24"/>
          <w:lang w:val="en-GB"/>
        </w:rPr>
        <w:t>Your discussion of critical thinking is also important because it shows that critical thinking itself is not necessarily ethical. The ability to analyse data, evaluate evidence and understand psychological biases could be used to improve the quality of political communication, but these same skills could also be used to make persuasive targeting more effective. This suggests that ethical decision-making requires more than simply possessing critical-thinking skills.</w:t>
      </w:r>
    </w:p>
    <w:p w:rsidR="55B0008D" w:rsidP="63FE71CB" w:rsidRDefault="55B0008D" w14:paraId="7F390D58" w14:textId="4F1B49BA">
      <w:pPr>
        <w:shd w:val="clear" w:color="auto" w:fill="FFFFFF" w:themeFill="background1"/>
        <w:spacing w:before="0" w:beforeAutospacing="off" w:after="240" w:afterAutospacing="off"/>
        <w:jc w:val="left"/>
      </w:pPr>
      <w:r w:rsidRPr="63FE71CB" w:rsidR="55B0008D">
        <w:rPr>
          <w:rFonts w:ascii="Aptos" w:hAnsi="Aptos" w:eastAsia="Aptos" w:cs="Aptos"/>
          <w:b w:val="0"/>
          <w:bCs w:val="0"/>
          <w:i w:val="0"/>
          <w:iCs w:val="0"/>
          <w:caps w:val="0"/>
          <w:smallCaps w:val="0"/>
          <w:noProof w:val="0"/>
          <w:color w:val="4C5A73"/>
          <w:sz w:val="24"/>
          <w:szCs w:val="24"/>
          <w:lang w:val="en-GB"/>
        </w:rPr>
        <w:t>This point can be connected to the persuasion knowledge model developed by Friestad and Wright (1994). The model proposes that people develop knowledge about persuasion attempts and can use this knowledge to interpret and respond to persuasive messages. In the context of psychographic targeting, transparency may therefore be particularly important. If voters understand that a political message has been specifically targeted towards them based on their characteristics or interests, they may be better positioned to recognise its persuasive intent and evaluate it critically.</w:t>
      </w:r>
    </w:p>
    <w:p w:rsidR="55B0008D" w:rsidP="63FE71CB" w:rsidRDefault="55B0008D" w14:paraId="2B13F43C" w14:textId="112A9A09">
      <w:pPr>
        <w:shd w:val="clear" w:color="auto" w:fill="FFFFFF" w:themeFill="background1"/>
        <w:spacing w:before="0" w:beforeAutospacing="off" w:after="240" w:afterAutospacing="off"/>
        <w:jc w:val="left"/>
      </w:pPr>
      <w:r w:rsidRPr="63FE71CB" w:rsidR="55B0008D">
        <w:rPr>
          <w:rFonts w:ascii="Aptos" w:hAnsi="Aptos" w:eastAsia="Aptos" w:cs="Aptos"/>
          <w:b w:val="0"/>
          <w:bCs w:val="0"/>
          <w:i w:val="0"/>
          <w:iCs w:val="0"/>
          <w:caps w:val="0"/>
          <w:smallCaps w:val="0"/>
          <w:noProof w:val="0"/>
          <w:color w:val="4C5A73"/>
          <w:sz w:val="24"/>
          <w:szCs w:val="24"/>
          <w:lang w:val="en-GB"/>
        </w:rPr>
        <w:t>I also agree with your point about metacognition. Reflecting on one’s own assumptions and reasoning can help campaign teams identify confirmation bias, particularly when interpreting voter data. This is relevant because people may be more likely to accept evidence that supports their existing beliefs while overlooking contradictory information.</w:t>
      </w:r>
    </w:p>
    <w:p w:rsidR="55B0008D" w:rsidP="63FE71CB" w:rsidRDefault="55B0008D" w14:paraId="3FDDFA6A" w14:textId="5AFE500B">
      <w:pPr>
        <w:shd w:val="clear" w:color="auto" w:fill="FFFFFF" w:themeFill="background1"/>
        <w:spacing w:before="0" w:beforeAutospacing="off" w:after="240" w:afterAutospacing="off"/>
        <w:jc w:val="left"/>
      </w:pPr>
      <w:r w:rsidRPr="63FE71CB" w:rsidR="55B0008D">
        <w:rPr>
          <w:rFonts w:ascii="Aptos" w:hAnsi="Aptos" w:eastAsia="Aptos" w:cs="Aptos"/>
          <w:b w:val="0"/>
          <w:bCs w:val="0"/>
          <w:i w:val="0"/>
          <w:iCs w:val="0"/>
          <w:caps w:val="0"/>
          <w:smallCaps w:val="0"/>
          <w:noProof w:val="0"/>
          <w:color w:val="4C5A73"/>
          <w:sz w:val="24"/>
          <w:szCs w:val="24"/>
          <w:lang w:val="en-GB"/>
        </w:rPr>
        <w:t>Overall, I think your post effectively demonstrates that critical thinking can be both beneficial and potentially problematic depending on how it is applied. Grice’s maxims provide useful standards for evaluating communication, while critical-thinking and persuasion research help explain how both campaigners and voters may approach targeted political messages. Combining these perspectives provides a stronger basis for considering the psychological and ethical implications of psychographic targeting.</w:t>
      </w:r>
    </w:p>
    <w:p w:rsidR="55B0008D" w:rsidP="63FE71CB" w:rsidRDefault="55B0008D" w14:paraId="0AC6D93C" w14:textId="4B73EE30">
      <w:pPr>
        <w:shd w:val="clear" w:color="auto" w:fill="FFFFFF" w:themeFill="background1"/>
        <w:spacing w:before="0" w:beforeAutospacing="off" w:after="240" w:afterAutospacing="off"/>
        <w:jc w:val="left"/>
      </w:pPr>
      <w:r w:rsidRPr="63FE71CB" w:rsidR="55B0008D">
        <w:rPr>
          <w:rFonts w:ascii="Aptos" w:hAnsi="Aptos" w:eastAsia="Aptos" w:cs="Aptos"/>
          <w:b w:val="0"/>
          <w:bCs w:val="0"/>
          <w:i w:val="0"/>
          <w:iCs w:val="0"/>
          <w:caps w:val="0"/>
          <w:smallCaps w:val="0"/>
          <w:noProof w:val="0"/>
          <w:color w:val="4C5A73"/>
          <w:sz w:val="24"/>
          <w:szCs w:val="24"/>
          <w:lang w:val="en-GB"/>
        </w:rPr>
        <w:t>Reference</w:t>
      </w:r>
    </w:p>
    <w:p w:rsidR="55B0008D" w:rsidP="63FE71CB" w:rsidRDefault="55B0008D" w14:paraId="4E418E33" w14:textId="52CAE6E7">
      <w:pPr>
        <w:shd w:val="clear" w:color="auto" w:fill="FFFFFF" w:themeFill="background1"/>
        <w:spacing w:before="0" w:beforeAutospacing="off" w:after="240" w:afterAutospacing="off"/>
        <w:jc w:val="left"/>
      </w:pPr>
      <w:r w:rsidRPr="63FE71CB" w:rsidR="55B0008D">
        <w:rPr>
          <w:rFonts w:ascii="Aptos" w:hAnsi="Aptos" w:eastAsia="Aptos" w:cs="Aptos"/>
          <w:b w:val="0"/>
          <w:bCs w:val="0"/>
          <w:i w:val="0"/>
          <w:iCs w:val="0"/>
          <w:caps w:val="0"/>
          <w:smallCaps w:val="0"/>
          <w:noProof w:val="0"/>
          <w:color w:val="4C5A73"/>
          <w:sz w:val="24"/>
          <w:szCs w:val="24"/>
          <w:lang w:val="en-GB"/>
        </w:rPr>
        <w:t xml:space="preserve">Friestad, M., &amp; Wright, P. (1994). The persuasion knowledge model: How people cope with persuasion attempts. </w:t>
      </w:r>
      <w:r w:rsidRPr="63FE71CB" w:rsidR="55B0008D">
        <w:rPr>
          <w:rFonts w:ascii="Aptos" w:hAnsi="Aptos" w:eastAsia="Aptos" w:cs="Aptos"/>
          <w:b w:val="0"/>
          <w:bCs w:val="0"/>
          <w:i w:val="1"/>
          <w:iCs w:val="1"/>
          <w:caps w:val="0"/>
          <w:smallCaps w:val="0"/>
          <w:noProof w:val="0"/>
          <w:color w:val="4C5A73"/>
          <w:sz w:val="24"/>
          <w:szCs w:val="24"/>
          <w:lang w:val="en-GB"/>
        </w:rPr>
        <w:t>Journal of Consumer Research, 21</w:t>
      </w:r>
      <w:r w:rsidRPr="63FE71CB" w:rsidR="55B0008D">
        <w:rPr>
          <w:rFonts w:ascii="Aptos" w:hAnsi="Aptos" w:eastAsia="Aptos" w:cs="Aptos"/>
          <w:b w:val="0"/>
          <w:bCs w:val="0"/>
          <w:i w:val="0"/>
          <w:iCs w:val="0"/>
          <w:caps w:val="0"/>
          <w:smallCaps w:val="0"/>
          <w:noProof w:val="0"/>
          <w:color w:val="4C5A73"/>
          <w:sz w:val="24"/>
          <w:szCs w:val="24"/>
          <w:lang w:val="en-GB"/>
        </w:rPr>
        <w:t xml:space="preserve">(1), 1–31. </w:t>
      </w:r>
      <w:hyperlink r:id="R8d3fa25ca484438f">
        <w:r w:rsidRPr="63FE71CB" w:rsidR="55B0008D">
          <w:rPr>
            <w:rStyle w:val="Hyperlink"/>
            <w:b w:val="0"/>
            <w:bCs w:val="0"/>
            <w:i w:val="0"/>
            <w:iCs w:val="0"/>
            <w:caps w:val="0"/>
            <w:smallCaps w:val="0"/>
            <w:noProof w:val="0"/>
            <w:lang w:val="en-GB"/>
          </w:rPr>
          <w:t>https://doi.org/10.1086/209380</w:t>
        </w:r>
      </w:hyperlink>
    </w:p>
    <w:p w:rsidR="63FE71CB" w:rsidP="63FE71CB" w:rsidRDefault="63FE71CB" w14:paraId="0A7B248D" w14:textId="557A00E6">
      <w:pPr>
        <w:pStyle w:val="Normal"/>
        <w:rPr>
          <w:b w:val="0"/>
          <w:bCs w:val="0"/>
          <w:i w:val="0"/>
          <w:iCs w:val="0"/>
          <w:caps w:val="0"/>
          <w:smallCaps w:val="0"/>
          <w:strike w:val="0"/>
          <w:dstrike w:val="0"/>
          <w:noProof w:val="0"/>
          <w:color w:val="CD202C"/>
          <w:u w:val="single"/>
          <w:lang w:val="en-GB"/>
        </w:rPr>
      </w:pPr>
    </w:p>
    <w:sectPr w:rsidR="005D587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F7D358"/>
    <w:rsid w:val="005C7102"/>
    <w:rsid w:val="005D587A"/>
    <w:rsid w:val="24199DFE"/>
    <w:rsid w:val="285CA2A9"/>
    <w:rsid w:val="38B17305"/>
    <w:rsid w:val="3BF7D358"/>
    <w:rsid w:val="4AA82EE3"/>
    <w:rsid w:val="51665F21"/>
    <w:rsid w:val="55B0008D"/>
    <w:rsid w:val="5AA79FF2"/>
    <w:rsid w:val="63FE71CB"/>
    <w:rsid w:val="6991DAB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179C"/>
  <w15:chartTrackingRefBased/>
  <w15:docId w15:val="{C9D5C3FB-1371-4917-B77A-B38B7F9D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6527&amp;course=15414" TargetMode="External" Id="R57fd7ee1af83450e" /><Relationship Type="http://schemas.openxmlformats.org/officeDocument/2006/relationships/hyperlink" Target="https://doi.org/10.3102/0034654314551063" TargetMode="External" Id="R281cda04e98a48eb" /><Relationship Type="http://schemas.openxmlformats.org/officeDocument/2006/relationships/hyperlink" Target="https://doi.org/10.4324/9781315885278" TargetMode="External" Id="Rb69cd80d2ffe4f8d" /><Relationship Type="http://schemas.openxmlformats.org/officeDocument/2006/relationships/hyperlink" Target="https://searchengineland.com/aimclears-psychographic-targeting-for-political-advertising-agencies-wins-237290" TargetMode="External" Id="Rba1c02e8a1334dc2" /><Relationship Type="http://schemas.openxmlformats.org/officeDocument/2006/relationships/hyperlink" Target="https://doi.org/10.3102/0034654314551063" TargetMode="External" Id="Rfd64e3eb8aa04585" /><Relationship Type="http://schemas.openxmlformats.org/officeDocument/2006/relationships/hyperlink" Target="https://doi.org/10.1086/209380" TargetMode="External" Id="Rfd06e53998944a77" /><Relationship Type="http://schemas.openxmlformats.org/officeDocument/2006/relationships/hyperlink" Target="https://doi.org/10.1086/209380" TargetMode="External" Id="R8d3fa25ca484438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2026-08-28T11:45:00.0000000Z</dcterms:created>
  <dcterms:modified xsi:type="dcterms:W3CDTF">2026-08-28T11:47:05.1176368Z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2026-08-28T11:45:53Z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d7238fb3-fb72-4174-9f47-1f4c3070657c</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