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10B6" w:rsidP="1A204512" w:rsidRDefault="00CC10B6" w14:paraId="5E5787A5" w14:textId="6726EF19">
      <w:pPr>
        <w:pStyle w:val="Normal"/>
      </w:pPr>
      <w:hyperlink r:id="R965715b44a0b4e8e">
        <w:r w:rsidRPr="1A204512" w:rsidR="1E00771F">
          <w:rPr>
            <w:rStyle w:val="Hyperlink"/>
            <w:b w:val="0"/>
            <w:bCs w:val="0"/>
            <w:i w:val="0"/>
            <w:iCs w:val="0"/>
            <w:caps w:val="0"/>
            <w:smallCaps w:val="0"/>
            <w:strike w:val="0"/>
            <w:dstrike w:val="0"/>
            <w:noProof w:val="0"/>
            <w:color w:val="CD202C"/>
            <w:u w:val="single"/>
            <w:lang w:val="en-GB"/>
          </w:rPr>
          <w:t>Claudia Capontes Oliver</w:t>
        </w:r>
      </w:hyperlink>
    </w:p>
    <w:p w:rsidR="1A204512" w:rsidP="1A204512" w:rsidRDefault="1A204512" w14:paraId="10C5EA03" w14:textId="6EBEDA46">
      <w:pPr>
        <w:pStyle w:val="Normal"/>
        <w:rPr>
          <w:b w:val="0"/>
          <w:bCs w:val="0"/>
          <w:i w:val="0"/>
          <w:iCs w:val="0"/>
          <w:caps w:val="0"/>
          <w:smallCaps w:val="0"/>
          <w:strike w:val="0"/>
          <w:dstrike w:val="0"/>
          <w:noProof w:val="0"/>
          <w:color w:val="CD202C"/>
          <w:u w:val="single"/>
          <w:lang w:val="en-GB"/>
        </w:rPr>
      </w:pPr>
    </w:p>
    <w:p w:rsidR="1E00771F" w:rsidP="1A204512" w:rsidRDefault="1E00771F" w14:paraId="5CD933E9" w14:textId="012D1826">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1A204512" w:rsidR="1E00771F">
        <w:rPr>
          <w:b w:val="0"/>
          <w:bCs w:val="0"/>
          <w:i w:val="0"/>
          <w:iCs w:val="0"/>
          <w:caps w:val="0"/>
          <w:smallCaps w:val="0"/>
          <w:strike w:val="0"/>
          <w:dstrike w:val="0"/>
          <w:noProof w:val="0"/>
          <w:color w:val="CD202C"/>
          <w:u w:val="single"/>
          <w:lang w:val="en-GB"/>
        </w:rPr>
        <w:t>IP:</w:t>
      </w:r>
      <w:r>
        <w:br/>
      </w:r>
      <w:r>
        <w:br/>
      </w:r>
    </w:p>
    <w:p w:rsidR="7FABD21D" w:rsidP="1A204512" w:rsidRDefault="7FABD21D" w14:paraId="3E274846" w14:textId="23F82D85">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The emergence of psychographic targeting in political advertising illustrates the increasing integration of marketing science with political strategy. According to aimClear's (2015) analysis, political campaigns now frequently utilise personality traits, values, and behavioural data to customise messages for distinct voter segments. Although this method may enhance persuasive effectiveness, it also raises significant concerns about communication ethics, critical thinking, and the role of cooperative dialogue in democratic societies.</w:t>
      </w:r>
    </w:p>
    <w:p w:rsidR="7FABD21D" w:rsidP="1A204512" w:rsidRDefault="7FABD21D" w14:paraId="584F6300" w14:textId="2EB45765">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From a Gricean perspective, psychographic targeting frequently fails to uphold the Cooperative Principle. Grice (Wireless Philosophy, 2014) posited that effective communication relies on adherence to the maxims of quantity, quality, relation, and manner. Political campaigns employing psychographic profiling may breach the maxim of quantity by selectively disclosing only information most likely to persuade specific audiences, while omitting relevant counterevidence. The maxim of quality is also at risk when campaigns highlight emotionally persuasive claims that are difficult for audiences to verify. While messages typically address recipients' concerns, thus meeting the maxim of relation, they may contravene the maxim of manner by employing ambiguous or emotionally charged language intended to influence rather than inform. As a result, psychographic targeting tends to prioritise persuasion over transparent and cooperative communication.</w:t>
      </w:r>
    </w:p>
    <w:p w:rsidR="7FABD21D" w:rsidP="1A204512" w:rsidRDefault="7FABD21D" w14:paraId="77D93867" w14:textId="08D0BCBE">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Halpern's (Hapner &amp; Dunn, 2022) model of critical thinking offers a valuable framework for analysing how agencies construct such campaigns. Critical thinking encompasses purposeful, reasoned, and goal-directed processes that enhance the likelihood of achieving specific objectives. Agencies may apply several of Halpern's identified skills, such as verbal reasoning, argument analysis, hypothesis testing, and decision-making. For instance, campaign strategists analyse voter data, formulate hypotheses regarding audience preferences, assess alternative interpretations of consumer behaviour, and make evidence-based decisions about message design. Probabilistic reasoning is also employed to forecast which messages are most likely to influence particular demographic groups. Thus, critical thinking in this context serves both evaluative and strategic, persuasive functions; it can be learned and improved through instruction and practice. Halpern (Hapner &amp; Dunn, 2022) argues that effective critical thinking education requires explicit instruction, opportunities for practice, metacognitive monitoring, and transfer across contexts. Political advertising agencies may develop these skills through professional training, data analytics exercises, campaign evaluations, and continuous testing of communication strategies. Techniques such as A/B testing, audience segmentation analysis, and post-campaign reviews encourage reflective thinking and evidence-based decision-making (Hewitt et al., 2024). Over time, these practices strengthen employees' capacity to evaluate evidence and adapt strategies effectively (Weinstein, 2014).</w:t>
      </w:r>
    </w:p>
    <w:p w:rsidR="7FABD21D" w:rsidP="1A204512" w:rsidRDefault="7FABD21D" w14:paraId="48E20691" w14:textId="09D6A068">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Gricean cooperative communication remains highly pertinent to applying critical thinking in political advertising, as it establishes ethical and communicative benchmarks for evaluating persuasive messages. Although critical thinking equips agencies to design highly effective campaigns, Grice's principles underscore the necessity of honesty, clarity, and informational completeness. In the absence of these standards, advanced critical thinking may be employed primarily for manipulation rather than for informing audiences. Consequently, the connection between critical thinking and cooperative communication is both strategic and fundamentally ethical.</w:t>
      </w:r>
    </w:p>
    <w:p w:rsidR="7FABD21D" w:rsidP="1A204512" w:rsidRDefault="7FABD21D" w14:paraId="199F3EA3" w14:textId="26B5F032">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In summary, psychographic targeting exemplifies the application of advanced critical thinking skills to political persuasion. However, these campaigns often diverge from Gricean principles by selectively presenting information and prioritising persuasion over fully cooperative communication. While critical thinking skills can be acquired and refined within political advertising agencies, their ethical use relies on upholding standards of transparency and communicative cooperation.</w:t>
      </w:r>
    </w:p>
    <w:p w:rsidR="7FABD21D" w:rsidP="1A204512" w:rsidRDefault="7FABD21D" w14:paraId="1E5842E3" w14:textId="2A21A899">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 </w:t>
      </w:r>
    </w:p>
    <w:p w:rsidR="7FABD21D" w:rsidP="1A204512" w:rsidRDefault="7FABD21D" w14:paraId="1D980520" w14:textId="1BA460DB">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 </w:t>
      </w:r>
    </w:p>
    <w:p w:rsidR="7FABD21D" w:rsidP="1A204512" w:rsidRDefault="7FABD21D" w14:paraId="0CF75542" w14:textId="3C995CDA">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References</w:t>
      </w:r>
    </w:p>
    <w:p w:rsidR="7FABD21D" w:rsidP="1A204512" w:rsidRDefault="7FABD21D" w14:paraId="6F1B252A" w14:textId="078A0342">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(2014). Strategies for teaching students to think critically. </w:t>
      </w:r>
      <w:r w:rsidRPr="1A204512" w:rsidR="7FABD21D">
        <w:rPr>
          <w:rFonts w:ascii="Aptos" w:hAnsi="Aptos" w:eastAsia="Aptos" w:cs="Aptos"/>
          <w:b w:val="0"/>
          <w:bCs w:val="0"/>
          <w:i w:val="1"/>
          <w:iCs w:val="1"/>
          <w:caps w:val="0"/>
          <w:smallCaps w:val="0"/>
          <w:noProof w:val="0"/>
          <w:color w:val="4C5A73"/>
          <w:sz w:val="24"/>
          <w:szCs w:val="24"/>
          <w:lang w:val="en-GB"/>
        </w:rPr>
        <w:t>Review of Educational Research</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85</w:t>
      </w:r>
      <w:r w:rsidRPr="1A204512" w:rsidR="7FABD21D">
        <w:rPr>
          <w:rFonts w:ascii="Aptos" w:hAnsi="Aptos" w:eastAsia="Aptos" w:cs="Aptos"/>
          <w:b w:val="0"/>
          <w:bCs w:val="0"/>
          <w:i w:val="0"/>
          <w:iCs w:val="0"/>
          <w:caps w:val="0"/>
          <w:smallCaps w:val="0"/>
          <w:noProof w:val="0"/>
          <w:color w:val="4C5A73"/>
          <w:sz w:val="24"/>
          <w:szCs w:val="24"/>
          <w:lang w:val="en-GB"/>
        </w:rPr>
        <w:t xml:space="preserve">(2), 275–314. </w:t>
      </w:r>
      <w:hyperlink r:id="R4f0d59b0254e4f06">
        <w:r w:rsidRPr="1A204512" w:rsidR="7FABD21D">
          <w:rPr>
            <w:rStyle w:val="Hyperlink"/>
            <w:b w:val="0"/>
            <w:bCs w:val="0"/>
            <w:i w:val="0"/>
            <w:iCs w:val="0"/>
            <w:caps w:val="0"/>
            <w:smallCaps w:val="0"/>
            <w:noProof w:val="0"/>
            <w:lang w:val="en-GB"/>
          </w:rPr>
          <w:t>https://doi.org/10.3102/0034654314551063</w:t>
        </w:r>
      </w:hyperlink>
    </w:p>
    <w:p w:rsidR="7FABD21D" w:rsidP="1A204512" w:rsidRDefault="7FABD21D" w14:paraId="07DAA2B2" w14:textId="4EF98D10">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Hewitt, L., Broockman, D., Coppock, A., Tappin, B. M., Slezak, J., Coffman, V., Lubin, N., &amp; Hamidian, M. (2024). How Experiments Help Campaigns Persuade Voters: Evidence from a Large Archive of Campaigns’ Own Experiments. </w:t>
      </w:r>
      <w:r w:rsidRPr="1A204512" w:rsidR="7FABD21D">
        <w:rPr>
          <w:rFonts w:ascii="Aptos" w:hAnsi="Aptos" w:eastAsia="Aptos" w:cs="Aptos"/>
          <w:b w:val="0"/>
          <w:bCs w:val="0"/>
          <w:i w:val="1"/>
          <w:iCs w:val="1"/>
          <w:caps w:val="0"/>
          <w:smallCaps w:val="0"/>
          <w:noProof w:val="0"/>
          <w:color w:val="4C5A73"/>
          <w:sz w:val="24"/>
          <w:szCs w:val="24"/>
          <w:lang w:val="en-GB"/>
        </w:rPr>
        <w:t>American Political Science Review</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118</w:t>
      </w:r>
      <w:r w:rsidRPr="1A204512" w:rsidR="7FABD21D">
        <w:rPr>
          <w:rFonts w:ascii="Aptos" w:hAnsi="Aptos" w:eastAsia="Aptos" w:cs="Aptos"/>
          <w:b w:val="0"/>
          <w:bCs w:val="0"/>
          <w:i w:val="0"/>
          <w:iCs w:val="0"/>
          <w:caps w:val="0"/>
          <w:smallCaps w:val="0"/>
          <w:noProof w:val="0"/>
          <w:color w:val="4C5A73"/>
          <w:sz w:val="24"/>
          <w:szCs w:val="24"/>
          <w:lang w:val="en-GB"/>
        </w:rPr>
        <w:t xml:space="preserve">(4), 2021–2039. </w:t>
      </w:r>
      <w:hyperlink r:id="R2ad72118972a4ba3">
        <w:r w:rsidRPr="1A204512" w:rsidR="7FABD21D">
          <w:rPr>
            <w:rStyle w:val="Hyperlink"/>
            <w:b w:val="0"/>
            <w:bCs w:val="0"/>
            <w:i w:val="0"/>
            <w:iCs w:val="0"/>
            <w:caps w:val="0"/>
            <w:smallCaps w:val="0"/>
            <w:noProof w:val="0"/>
            <w:lang w:val="en-GB"/>
          </w:rPr>
          <w:t>https://doi.org/10.1017/s0003055423001387</w:t>
        </w:r>
      </w:hyperlink>
    </w:p>
    <w:p w:rsidR="7FABD21D" w:rsidP="1A204512" w:rsidRDefault="7FABD21D" w14:paraId="32E91CF6" w14:textId="7BE3D15F">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Sponsored Content: aimClear. (2015, December 3). AIMClear’s psychographic targeting for political advertising agencies’ WINS. </w:t>
      </w:r>
      <w:r w:rsidRPr="1A204512" w:rsidR="7FABD21D">
        <w:rPr>
          <w:rFonts w:ascii="Aptos" w:hAnsi="Aptos" w:eastAsia="Aptos" w:cs="Aptos"/>
          <w:b w:val="0"/>
          <w:bCs w:val="0"/>
          <w:i w:val="1"/>
          <w:iCs w:val="1"/>
          <w:caps w:val="0"/>
          <w:smallCaps w:val="0"/>
          <w:noProof w:val="0"/>
          <w:color w:val="4C5A73"/>
          <w:sz w:val="24"/>
          <w:szCs w:val="24"/>
          <w:lang w:val="en-GB"/>
        </w:rPr>
        <w:t>Search Engine Land</w:t>
      </w:r>
      <w:r w:rsidRPr="1A204512" w:rsidR="7FABD21D">
        <w:rPr>
          <w:rFonts w:ascii="Aptos" w:hAnsi="Aptos" w:eastAsia="Aptos" w:cs="Aptos"/>
          <w:b w:val="0"/>
          <w:bCs w:val="0"/>
          <w:i w:val="0"/>
          <w:iCs w:val="0"/>
          <w:caps w:val="0"/>
          <w:smallCaps w:val="0"/>
          <w:noProof w:val="0"/>
          <w:color w:val="4C5A73"/>
          <w:sz w:val="24"/>
          <w:szCs w:val="24"/>
          <w:lang w:val="en-GB"/>
        </w:rPr>
        <w:t xml:space="preserve">. </w:t>
      </w:r>
      <w:hyperlink r:id="Ra4de12957e724706">
        <w:r w:rsidRPr="1A204512" w:rsidR="7FABD21D">
          <w:rPr>
            <w:rStyle w:val="Hyperlink"/>
            <w:b w:val="0"/>
            <w:bCs w:val="0"/>
            <w:i w:val="0"/>
            <w:iCs w:val="0"/>
            <w:caps w:val="0"/>
            <w:smallCaps w:val="0"/>
            <w:noProof w:val="0"/>
            <w:lang w:val="en-GB"/>
          </w:rPr>
          <w:t>https://searchengineland.com/aimclears-psychographic-targeting-for-political-advertising-agencies-wins-237290</w:t>
        </w:r>
      </w:hyperlink>
    </w:p>
    <w:p w:rsidR="7FABD21D" w:rsidP="1A204512" w:rsidRDefault="7FABD21D" w14:paraId="782B728E" w14:textId="69C67FB2">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Weinstein, A. (2014). Segmenting B2B technology markets via psychographics: an exploratory study. </w:t>
      </w:r>
      <w:r w:rsidRPr="1A204512" w:rsidR="7FABD21D">
        <w:rPr>
          <w:rFonts w:ascii="Aptos" w:hAnsi="Aptos" w:eastAsia="Aptos" w:cs="Aptos"/>
          <w:b w:val="0"/>
          <w:bCs w:val="0"/>
          <w:i w:val="1"/>
          <w:iCs w:val="1"/>
          <w:caps w:val="0"/>
          <w:smallCaps w:val="0"/>
          <w:noProof w:val="0"/>
          <w:color w:val="4C5A73"/>
          <w:sz w:val="24"/>
          <w:szCs w:val="24"/>
          <w:lang w:val="en-GB"/>
        </w:rPr>
        <w:t>Journal of Strategic Marketing</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22</w:t>
      </w:r>
      <w:r w:rsidRPr="1A204512" w:rsidR="7FABD21D">
        <w:rPr>
          <w:rFonts w:ascii="Aptos" w:hAnsi="Aptos" w:eastAsia="Aptos" w:cs="Aptos"/>
          <w:b w:val="0"/>
          <w:bCs w:val="0"/>
          <w:i w:val="0"/>
          <w:iCs w:val="0"/>
          <w:caps w:val="0"/>
          <w:smallCaps w:val="0"/>
          <w:noProof w:val="0"/>
          <w:color w:val="4C5A73"/>
          <w:sz w:val="24"/>
          <w:szCs w:val="24"/>
          <w:lang w:val="en-GB"/>
        </w:rPr>
        <w:t xml:space="preserve">(3), 257–267. </w:t>
      </w:r>
      <w:hyperlink r:id="Re4a8b13c365e4f16">
        <w:r w:rsidRPr="1A204512" w:rsidR="7FABD21D">
          <w:rPr>
            <w:rStyle w:val="Hyperlink"/>
            <w:b w:val="0"/>
            <w:bCs w:val="0"/>
            <w:i w:val="0"/>
            <w:iCs w:val="0"/>
            <w:caps w:val="0"/>
            <w:smallCaps w:val="0"/>
            <w:noProof w:val="0"/>
            <w:lang w:val="en-GB"/>
          </w:rPr>
          <w:t>https://doi.org/10.1080/0965254x.2013.876072</w:t>
        </w:r>
      </w:hyperlink>
    </w:p>
    <w:p w:rsidR="7FABD21D" w:rsidP="1A204512" w:rsidRDefault="7FABD21D" w14:paraId="0B8BFC82" w14:textId="54820A2F">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Wireless Philosophy. (2014, August 13). </w:t>
      </w:r>
      <w:r w:rsidRPr="1A204512" w:rsidR="7FABD21D">
        <w:rPr>
          <w:rFonts w:ascii="Aptos" w:hAnsi="Aptos" w:eastAsia="Aptos" w:cs="Aptos"/>
          <w:b w:val="0"/>
          <w:bCs w:val="0"/>
          <w:i w:val="1"/>
          <w:iCs w:val="1"/>
          <w:caps w:val="0"/>
          <w:smallCaps w:val="0"/>
          <w:noProof w:val="0"/>
          <w:color w:val="4C5A73"/>
          <w:sz w:val="24"/>
          <w:szCs w:val="24"/>
          <w:lang w:val="en-GB"/>
        </w:rPr>
        <w:t>PHILOSOPHY - Language: Gricean Pragmatics [HD]</w:t>
      </w:r>
      <w:r w:rsidRPr="1A204512" w:rsidR="7FABD21D">
        <w:rPr>
          <w:rFonts w:ascii="Aptos" w:hAnsi="Aptos" w:eastAsia="Aptos" w:cs="Aptos"/>
          <w:b w:val="0"/>
          <w:bCs w:val="0"/>
          <w:i w:val="0"/>
          <w:iCs w:val="0"/>
          <w:caps w:val="0"/>
          <w:smallCaps w:val="0"/>
          <w:noProof w:val="0"/>
          <w:color w:val="4C5A73"/>
          <w:sz w:val="24"/>
          <w:szCs w:val="24"/>
          <w:lang w:val="en-GB"/>
        </w:rPr>
        <w:t xml:space="preserve"> [Video]. YouTube. </w:t>
      </w:r>
      <w:hyperlink r:id="R388948cd3a4c4e59">
        <w:r w:rsidRPr="1A204512" w:rsidR="7FABD21D">
          <w:rPr>
            <w:rStyle w:val="Hyperlink"/>
            <w:b w:val="0"/>
            <w:bCs w:val="0"/>
            <w:i w:val="0"/>
            <w:iCs w:val="0"/>
            <w:caps w:val="0"/>
            <w:smallCaps w:val="0"/>
            <w:noProof w:val="0"/>
            <w:lang w:val="en-GB"/>
          </w:rPr>
          <w:t>https://www.youtube.com/watch?v=we6uSVf4qss</w:t>
        </w:r>
      </w:hyperlink>
    </w:p>
    <w:p w:rsidR="1A204512" w:rsidP="1A204512" w:rsidRDefault="1A204512" w14:paraId="39FA8052" w14:textId="6968047E">
      <w:pPr>
        <w:pStyle w:val="Normal"/>
        <w:rPr>
          <w:b w:val="0"/>
          <w:bCs w:val="0"/>
          <w:i w:val="0"/>
          <w:iCs w:val="0"/>
          <w:caps w:val="0"/>
          <w:smallCaps w:val="0"/>
          <w:strike w:val="0"/>
          <w:dstrike w:val="0"/>
          <w:noProof w:val="0"/>
          <w:color w:val="CD202C"/>
          <w:u w:val="single"/>
          <w:lang w:val="en-GB"/>
        </w:rPr>
      </w:pPr>
    </w:p>
    <w:p w:rsidR="7FABD21D" w:rsidP="1A204512" w:rsidRDefault="7FABD21D" w14:paraId="5C97D4F1" w14:textId="0D54B9E3">
      <w:pPr>
        <w:pStyle w:val="Normal"/>
      </w:pPr>
      <w:r w:rsidRPr="1A204512" w:rsidR="7FABD21D">
        <w:rPr>
          <w:b w:val="0"/>
          <w:bCs w:val="0"/>
          <w:i w:val="0"/>
          <w:iCs w:val="0"/>
          <w:caps w:val="0"/>
          <w:smallCaps w:val="0"/>
          <w:strike w:val="0"/>
          <w:dstrike w:val="0"/>
          <w:noProof w:val="0"/>
          <w:color w:val="CD202C"/>
          <w:u w:val="single"/>
          <w:lang w:val="en-GB"/>
        </w:rPr>
        <w:t>PR1</w:t>
      </w:r>
    </w:p>
    <w:p w:rsidR="1A204512" w:rsidP="1A204512" w:rsidRDefault="1A204512" w14:paraId="44414528" w14:textId="1497B575">
      <w:pPr>
        <w:shd w:val="clear" w:color="auto" w:fill="FFFFFF" w:themeFill="background1"/>
        <w:spacing w:before="0" w:beforeAutospacing="off" w:after="240" w:afterAutospacing="off"/>
        <w:jc w:val="left"/>
      </w:pPr>
    </w:p>
    <w:p w:rsidR="7FABD21D" w:rsidP="1A204512" w:rsidRDefault="7FABD21D" w14:paraId="5A7909B5" w14:textId="60372ED5">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Hi Lucy, your analysis effectively highlights the tension between psychographic political advertising and Grice's Cooperative Principle. A notable strength is the recognition that targeted messages can support the maxims of relation and manner by enhancing relevance and clarity for specific audiences. However, the argument could be further developed by considering evidence that psychographic targeting may also facilitate selective exposure to information. For instance, the Cambridge Analytica controversy demonstrated how voter data could be used to deliver highly personalised political messages that remained largely invisible to the broader public, raising concerns about transparency and the maxim of quantity (Heawood, 2018).</w:t>
      </w:r>
    </w:p>
    <w:p w:rsidR="7FABD21D" w:rsidP="1A204512" w:rsidRDefault="7FABD21D" w14:paraId="7F7D36AE" w14:textId="6484C962">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The discussion of Halpern's model is particularly robust, as it accurately identifies the four components of critical thinking: dispositions, skills instruction, structure training, and metacognitive monitoring. Halpern (1998) contends that critical thinking involves the deliberate use of cognitive skills and strategies that increase the likelihood of achieving desirable outcomes, and that these skills can be taught and transferred across contexts. This perspective supports the claim that political agencies can train employees to evaluate evidence and monitor campaigns (</w:t>
      </w:r>
      <w:r w:rsidRPr="1A204512" w:rsidR="7FABD21D">
        <w:rPr>
          <w:rFonts w:ascii="Aptos" w:hAnsi="Aptos" w:eastAsia="Aptos" w:cs="Aptos"/>
          <w:b w:val="0"/>
          <w:bCs w:val="0"/>
          <w:i w:val="1"/>
          <w:iCs w:val="1"/>
          <w:caps w:val="0"/>
          <w:smallCaps w:val="0"/>
          <w:noProof w:val="0"/>
          <w:color w:val="4C5A73"/>
          <w:sz w:val="24"/>
          <w:szCs w:val="24"/>
          <w:lang w:val="en-GB"/>
        </w:rPr>
        <w:t>Evaluate and Learn: The Evaluation Cycle - Government Communications</w:t>
      </w:r>
      <w:r w:rsidRPr="1A204512" w:rsidR="7FABD21D">
        <w:rPr>
          <w:rFonts w:ascii="Aptos" w:hAnsi="Aptos" w:eastAsia="Aptos" w:cs="Aptos"/>
          <w:b w:val="0"/>
          <w:bCs w:val="0"/>
          <w:i w:val="0"/>
          <w:iCs w:val="0"/>
          <w:caps w:val="0"/>
          <w:smallCaps w:val="0"/>
          <w:noProof w:val="0"/>
          <w:color w:val="4C5A73"/>
          <w:sz w:val="24"/>
          <w:szCs w:val="24"/>
          <w:lang w:val="en-GB"/>
        </w:rPr>
        <w:t>, 2024). However, the application of critical thinking in the analysis is one-sided, focusing primarily on political agencies rather than voters. Abrami et al.'s (2008) meta-analysis of 117 studies involving over 20,000 participants found that explicit instruction significantly improved critical-thinking skills, indicating that citizens can learn to evaluate persuasive messages more effectively rather than simply being influenced by them. This finding is significant because it demonstrates that critical thinking can serve as a safeguard against manipulation.</w:t>
      </w:r>
    </w:p>
    <w:p w:rsidR="7FABD21D" w:rsidP="1A204512" w:rsidRDefault="7FABD21D" w14:paraId="6EB5A7E1" w14:textId="2A85F042">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Overall, the argument is balanced, but it could be strengthened by examining the ethical distinction between persuasion and manipulation. While psychographic advertising may enhance relevance, it risks undermining cooperative communication when information is selectively presented to different audiences. This indicates that the central issue is not persuasion itself, but whether campaigns maintain transparency while pursuing persuasive objectives.</w:t>
      </w:r>
    </w:p>
    <w:p w:rsidR="7FABD21D" w:rsidP="1A204512" w:rsidRDefault="7FABD21D" w14:paraId="09FA798D" w14:textId="0FA587D5">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 </w:t>
      </w:r>
    </w:p>
    <w:p w:rsidR="7FABD21D" w:rsidP="1A204512" w:rsidRDefault="7FABD21D" w14:paraId="6D238C5C" w14:textId="521C3BC5">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References:</w:t>
      </w:r>
    </w:p>
    <w:p w:rsidR="7FABD21D" w:rsidP="1A204512" w:rsidRDefault="7FABD21D" w14:paraId="68BACEA3" w14:textId="183DBC3E">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Abrami, P. C., Bernard, R. M., Borokhovski, E., Wade, A., Surkes, M. A., Tamim, R., &amp; Zhang, D. (2008). Instructional Interventions Affecting critical thinking skills and dispositions: A Stage 1 Meta-Analysis. </w:t>
      </w:r>
      <w:r w:rsidRPr="1A204512" w:rsidR="7FABD21D">
        <w:rPr>
          <w:rFonts w:ascii="Aptos" w:hAnsi="Aptos" w:eastAsia="Aptos" w:cs="Aptos"/>
          <w:b w:val="0"/>
          <w:bCs w:val="0"/>
          <w:i w:val="1"/>
          <w:iCs w:val="1"/>
          <w:caps w:val="0"/>
          <w:smallCaps w:val="0"/>
          <w:noProof w:val="0"/>
          <w:color w:val="4C5A73"/>
          <w:sz w:val="24"/>
          <w:szCs w:val="24"/>
          <w:lang w:val="en-GB"/>
        </w:rPr>
        <w:t>Review of Educational Research</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78</w:t>
      </w:r>
      <w:r w:rsidRPr="1A204512" w:rsidR="7FABD21D">
        <w:rPr>
          <w:rFonts w:ascii="Aptos" w:hAnsi="Aptos" w:eastAsia="Aptos" w:cs="Aptos"/>
          <w:b w:val="0"/>
          <w:bCs w:val="0"/>
          <w:i w:val="0"/>
          <w:iCs w:val="0"/>
          <w:caps w:val="0"/>
          <w:smallCaps w:val="0"/>
          <w:noProof w:val="0"/>
          <w:color w:val="4C5A73"/>
          <w:sz w:val="24"/>
          <w:szCs w:val="24"/>
          <w:lang w:val="en-GB"/>
        </w:rPr>
        <w:t xml:space="preserve">(4), 1102–1134. </w:t>
      </w:r>
      <w:hyperlink r:id="R475c6eeb2a394435">
        <w:r w:rsidRPr="1A204512" w:rsidR="7FABD21D">
          <w:rPr>
            <w:rStyle w:val="Hyperlink"/>
            <w:b w:val="0"/>
            <w:bCs w:val="0"/>
            <w:i w:val="0"/>
            <w:iCs w:val="0"/>
            <w:caps w:val="0"/>
            <w:smallCaps w:val="0"/>
            <w:noProof w:val="0"/>
            <w:lang w:val="en-GB"/>
          </w:rPr>
          <w:t>https://doi.org/10.3102/0034654308326084</w:t>
        </w:r>
      </w:hyperlink>
    </w:p>
    <w:p w:rsidR="7FABD21D" w:rsidP="1A204512" w:rsidRDefault="7FABD21D" w14:paraId="3D3FD34B" w14:textId="2F4CC234">
      <w:pPr>
        <w:shd w:val="clear" w:color="auto" w:fill="FFFFFF" w:themeFill="background1"/>
        <w:spacing w:before="0" w:beforeAutospacing="off" w:after="240" w:afterAutospacing="off"/>
        <w:jc w:val="left"/>
      </w:pPr>
      <w:r w:rsidRPr="1A204512" w:rsidR="7FABD21D">
        <w:rPr>
          <w:rFonts w:ascii="Aptos" w:hAnsi="Aptos" w:eastAsia="Aptos" w:cs="Aptos"/>
          <w:b w:val="0"/>
          <w:bCs w:val="0"/>
          <w:i w:val="1"/>
          <w:iCs w:val="1"/>
          <w:caps w:val="0"/>
          <w:smallCaps w:val="0"/>
          <w:noProof w:val="0"/>
          <w:color w:val="4C5A73"/>
          <w:sz w:val="24"/>
          <w:szCs w:val="24"/>
          <w:lang w:val="en-GB"/>
        </w:rPr>
        <w:t>Evaluate and learn: the Evaluation Cycle - Government Communications</w:t>
      </w:r>
      <w:r w:rsidRPr="1A204512" w:rsidR="7FABD21D">
        <w:rPr>
          <w:rFonts w:ascii="Aptos" w:hAnsi="Aptos" w:eastAsia="Aptos" w:cs="Aptos"/>
          <w:b w:val="0"/>
          <w:bCs w:val="0"/>
          <w:i w:val="0"/>
          <w:iCs w:val="0"/>
          <w:caps w:val="0"/>
          <w:smallCaps w:val="0"/>
          <w:noProof w:val="0"/>
          <w:color w:val="4C5A73"/>
          <w:sz w:val="24"/>
          <w:szCs w:val="24"/>
          <w:lang w:val="en-GB"/>
        </w:rPr>
        <w:t xml:space="preserve">. (2024, February 8). Government Communications. </w:t>
      </w:r>
      <w:hyperlink r:id="Rd4a59ce697a24c92">
        <w:r w:rsidRPr="1A204512" w:rsidR="7FABD21D">
          <w:rPr>
            <w:rStyle w:val="Hyperlink"/>
            <w:b w:val="0"/>
            <w:bCs w:val="0"/>
            <w:i w:val="0"/>
            <w:iCs w:val="0"/>
            <w:caps w:val="0"/>
            <w:smallCaps w:val="0"/>
            <w:noProof w:val="0"/>
            <w:lang w:val="en-GB"/>
          </w:rPr>
          <w:t>https://www.communications.gov.uk/publication/gcs-evaluation-cycle/</w:t>
        </w:r>
      </w:hyperlink>
    </w:p>
    <w:p w:rsidR="7FABD21D" w:rsidP="1A204512" w:rsidRDefault="7FABD21D" w14:paraId="01FCDFD2" w14:textId="6AF2E609">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1A204512" w:rsidR="7FABD21D">
        <w:rPr>
          <w:rFonts w:ascii="Aptos" w:hAnsi="Aptos" w:eastAsia="Aptos" w:cs="Aptos"/>
          <w:b w:val="0"/>
          <w:bCs w:val="0"/>
          <w:i w:val="1"/>
          <w:iCs w:val="1"/>
          <w:caps w:val="0"/>
          <w:smallCaps w:val="0"/>
          <w:noProof w:val="0"/>
          <w:color w:val="4C5A73"/>
          <w:sz w:val="24"/>
          <w:szCs w:val="24"/>
          <w:lang w:val="en-GB"/>
        </w:rPr>
        <w:t>American Psychologist</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53</w:t>
      </w:r>
      <w:r w:rsidRPr="1A204512" w:rsidR="7FABD21D">
        <w:rPr>
          <w:rFonts w:ascii="Aptos" w:hAnsi="Aptos" w:eastAsia="Aptos" w:cs="Aptos"/>
          <w:b w:val="0"/>
          <w:bCs w:val="0"/>
          <w:i w:val="0"/>
          <w:iCs w:val="0"/>
          <w:caps w:val="0"/>
          <w:smallCaps w:val="0"/>
          <w:noProof w:val="0"/>
          <w:color w:val="4C5A73"/>
          <w:sz w:val="24"/>
          <w:szCs w:val="24"/>
          <w:lang w:val="en-GB"/>
        </w:rPr>
        <w:t xml:space="preserve">(4), 449–455. </w:t>
      </w:r>
      <w:hyperlink r:id="Rfd04be28ffa34836">
        <w:r w:rsidRPr="1A204512" w:rsidR="7FABD21D">
          <w:rPr>
            <w:rStyle w:val="Hyperlink"/>
            <w:b w:val="0"/>
            <w:bCs w:val="0"/>
            <w:i w:val="0"/>
            <w:iCs w:val="0"/>
            <w:caps w:val="0"/>
            <w:smallCaps w:val="0"/>
            <w:noProof w:val="0"/>
            <w:lang w:val="en-GB"/>
          </w:rPr>
          <w:t>https://doi.org/10.1037/0003-066x.53.4.449</w:t>
        </w:r>
      </w:hyperlink>
    </w:p>
    <w:p w:rsidR="7FABD21D" w:rsidP="1A204512" w:rsidRDefault="7FABD21D" w14:paraId="1D23CA97" w14:textId="63626568">
      <w:pPr>
        <w:shd w:val="clear" w:color="auto" w:fill="FFFFFF" w:themeFill="background1"/>
        <w:spacing w:before="0" w:beforeAutospacing="off" w:after="240" w:afterAutospacing="off"/>
        <w:jc w:val="left"/>
      </w:pPr>
      <w:r w:rsidRPr="1A204512" w:rsidR="7FABD21D">
        <w:rPr>
          <w:rFonts w:ascii="Aptos" w:hAnsi="Aptos" w:eastAsia="Aptos" w:cs="Aptos"/>
          <w:b w:val="0"/>
          <w:bCs w:val="0"/>
          <w:i w:val="0"/>
          <w:iCs w:val="0"/>
          <w:caps w:val="0"/>
          <w:smallCaps w:val="0"/>
          <w:noProof w:val="0"/>
          <w:color w:val="4C5A73"/>
          <w:sz w:val="24"/>
          <w:szCs w:val="24"/>
          <w:lang w:val="en-GB"/>
        </w:rPr>
        <w:t xml:space="preserve">Heawood, J. (2018). Pseudo-public political speech: Democratic implications of the Cambridge Analytica scandal. </w:t>
      </w:r>
      <w:r w:rsidRPr="1A204512" w:rsidR="7FABD21D">
        <w:rPr>
          <w:rFonts w:ascii="Aptos" w:hAnsi="Aptos" w:eastAsia="Aptos" w:cs="Aptos"/>
          <w:b w:val="0"/>
          <w:bCs w:val="0"/>
          <w:i w:val="1"/>
          <w:iCs w:val="1"/>
          <w:caps w:val="0"/>
          <w:smallCaps w:val="0"/>
          <w:noProof w:val="0"/>
          <w:color w:val="4C5A73"/>
          <w:sz w:val="24"/>
          <w:szCs w:val="24"/>
          <w:lang w:val="en-GB"/>
        </w:rPr>
        <w:t>Information Polity</w:t>
      </w:r>
      <w:r w:rsidRPr="1A204512" w:rsidR="7FABD21D">
        <w:rPr>
          <w:rFonts w:ascii="Aptos" w:hAnsi="Aptos" w:eastAsia="Aptos" w:cs="Aptos"/>
          <w:b w:val="0"/>
          <w:bCs w:val="0"/>
          <w:i w:val="0"/>
          <w:iCs w:val="0"/>
          <w:caps w:val="0"/>
          <w:smallCaps w:val="0"/>
          <w:noProof w:val="0"/>
          <w:color w:val="4C5A73"/>
          <w:sz w:val="24"/>
          <w:szCs w:val="24"/>
          <w:lang w:val="en-GB"/>
        </w:rPr>
        <w:t xml:space="preserve">, </w:t>
      </w:r>
      <w:r w:rsidRPr="1A204512" w:rsidR="7FABD21D">
        <w:rPr>
          <w:rFonts w:ascii="Aptos" w:hAnsi="Aptos" w:eastAsia="Aptos" w:cs="Aptos"/>
          <w:b w:val="0"/>
          <w:bCs w:val="0"/>
          <w:i w:val="1"/>
          <w:iCs w:val="1"/>
          <w:caps w:val="0"/>
          <w:smallCaps w:val="0"/>
          <w:noProof w:val="0"/>
          <w:color w:val="4C5A73"/>
          <w:sz w:val="24"/>
          <w:szCs w:val="24"/>
          <w:lang w:val="en-GB"/>
        </w:rPr>
        <w:t>23</w:t>
      </w:r>
      <w:r w:rsidRPr="1A204512" w:rsidR="7FABD21D">
        <w:rPr>
          <w:rFonts w:ascii="Aptos" w:hAnsi="Aptos" w:eastAsia="Aptos" w:cs="Aptos"/>
          <w:b w:val="0"/>
          <w:bCs w:val="0"/>
          <w:i w:val="0"/>
          <w:iCs w:val="0"/>
          <w:caps w:val="0"/>
          <w:smallCaps w:val="0"/>
          <w:noProof w:val="0"/>
          <w:color w:val="4C5A73"/>
          <w:sz w:val="24"/>
          <w:szCs w:val="24"/>
          <w:lang w:val="en-GB"/>
        </w:rPr>
        <w:t xml:space="preserve">(4), 429–434. </w:t>
      </w:r>
      <w:hyperlink r:id="R6fa08e8f3dec4433">
        <w:r w:rsidRPr="1A204512" w:rsidR="7FABD21D">
          <w:rPr>
            <w:rStyle w:val="Hyperlink"/>
            <w:b w:val="0"/>
            <w:bCs w:val="0"/>
            <w:i w:val="0"/>
            <w:iCs w:val="0"/>
            <w:caps w:val="0"/>
            <w:smallCaps w:val="0"/>
            <w:noProof w:val="0"/>
            <w:lang w:val="en-GB"/>
          </w:rPr>
          <w:t>https://doi.org/10.3233/ip-180009</w:t>
        </w:r>
      </w:hyperlink>
    </w:p>
    <w:p w:rsidR="1A204512" w:rsidP="1A204512" w:rsidRDefault="1A204512" w14:paraId="01CD107E" w14:textId="66C8D64F">
      <w:pPr>
        <w:pStyle w:val="Normal"/>
        <w:rPr>
          <w:b w:val="0"/>
          <w:bCs w:val="0"/>
          <w:i w:val="0"/>
          <w:iCs w:val="0"/>
          <w:caps w:val="0"/>
          <w:smallCaps w:val="0"/>
          <w:strike w:val="0"/>
          <w:dstrike w:val="0"/>
          <w:noProof w:val="0"/>
          <w:color w:val="CD202C"/>
          <w:u w:val="single"/>
          <w:lang w:val="en-GB"/>
        </w:rPr>
      </w:pPr>
    </w:p>
    <w:p w:rsidR="7FABD21D" w:rsidP="1A204512" w:rsidRDefault="7FABD21D" w14:paraId="33B54BE7" w14:textId="2049CAE4">
      <w:pPr>
        <w:pStyle w:val="Normal"/>
      </w:pPr>
      <w:r w:rsidRPr="1A204512" w:rsidR="7FABD21D">
        <w:rPr>
          <w:b w:val="0"/>
          <w:bCs w:val="0"/>
          <w:i w:val="0"/>
          <w:iCs w:val="0"/>
          <w:caps w:val="0"/>
          <w:smallCaps w:val="0"/>
          <w:strike w:val="0"/>
          <w:dstrike w:val="0"/>
          <w:noProof w:val="0"/>
          <w:color w:val="CD202C"/>
          <w:u w:val="single"/>
          <w:lang w:val="en-GB"/>
        </w:rPr>
        <w:t>--</w:t>
      </w:r>
    </w:p>
    <w:p w:rsidR="7FABD21D" w:rsidP="1A204512" w:rsidRDefault="7FABD21D" w14:paraId="014D6001" w14:textId="4AB0907C">
      <w:pPr>
        <w:pStyle w:val="Normal"/>
        <w:shd w:val="clear" w:color="auto" w:fill="FFFFFF" w:themeFill="background1"/>
        <w:spacing w:before="0" w:beforeAutospacing="off" w:after="240" w:afterAutospacing="off"/>
        <w:jc w:val="left"/>
      </w:pPr>
      <w:r w:rsidRPr="1A204512" w:rsidR="7FABD21D">
        <w:rPr>
          <w:b w:val="0"/>
          <w:bCs w:val="0"/>
          <w:i w:val="0"/>
          <w:iCs w:val="0"/>
          <w:caps w:val="0"/>
          <w:smallCaps w:val="0"/>
          <w:strike w:val="0"/>
          <w:dstrike w:val="0"/>
          <w:noProof w:val="0"/>
          <w:color w:val="CD202C"/>
          <w:u w:val="single"/>
          <w:lang w:val="en-GB"/>
        </w:rPr>
        <w:t>PR2:</w:t>
      </w:r>
      <w:r>
        <w:br/>
      </w:r>
      <w:r>
        <w:br/>
      </w:r>
      <w:r w:rsidRPr="1A204512" w:rsidR="4BA0684B">
        <w:rPr>
          <w:rFonts w:ascii="Aptos" w:hAnsi="Aptos" w:eastAsia="Aptos" w:cs="Aptos"/>
          <w:b w:val="0"/>
          <w:bCs w:val="0"/>
          <w:i w:val="0"/>
          <w:iCs w:val="0"/>
          <w:caps w:val="0"/>
          <w:smallCaps w:val="0"/>
          <w:noProof w:val="0"/>
          <w:color w:val="4C5A73"/>
          <w:sz w:val="24"/>
          <w:szCs w:val="24"/>
          <w:lang w:val="en-GB"/>
        </w:rPr>
        <w:t>Hi Danilma, your analysis provides a comprehensive critique of psychographic political advertising by applying Grice's Cooperative Principle and Halpern's critical thinking model. One significant strength is the argument that psychographic targeting may contravene the maxims of quantity, quality, and manner. The finding that voters often remain unaware of message tailoring to their psychological profiles raises substantial concerns about transparency and informed decision-making. This concern aligns with issues identified following the Cambridge Analytica scandal, where personalised political messaging was criticised for reducing public scrutiny and accountability (Heawood, 2018).</w:t>
      </w:r>
    </w:p>
    <w:p w:rsidR="4BA0684B" w:rsidP="1A204512" w:rsidRDefault="4BA0684B" w14:paraId="4D693C82" w14:textId="512CFB3E">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Nevertheless, the discussion may exaggerate the extent to which psychographic advertising violates Grice's maxims. While tailored messages may exclude specific information, such omissions do not necessarily breach the maxim of quantity. Historically, political campaigns have adapted messages for distinct audiences, and targeted communication can uphold the maxim of relation by enhancing the relevance of information to voters' interests. A more rigorous assessment should differentiate between legitimate audience adaptation and intentional manipulation.</w:t>
      </w:r>
    </w:p>
    <w:p w:rsidR="4BA0684B" w:rsidP="1A204512" w:rsidRDefault="4BA0684B" w14:paraId="136105F7" w14:textId="1F7C1B97">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The use of Halpern's critical thinking framework is particularly persuasive, notably in its focus on metacognition, transfer, and evidence evaluation. Halpern (1998) asserts that critical thinking consists of learnable, transferable skills applicable across contexts, supporting the claim that agencies cultivate these abilities through training and campaign evaluation. However, the analysis predominantly examines how agencies utilise critical thinking to increase persuasive effectiveness. This emphasis may neglect the normative function of critical thinking, which is to enhance the quality of reasoning rather than merely to accomplish strategic goals.</w:t>
      </w:r>
    </w:p>
    <w:p w:rsidR="4BA0684B" w:rsidP="1A204512" w:rsidRDefault="4BA0684B" w14:paraId="04A44F8D" w14:textId="5AF0B2C9">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Abrami et al. (2008) found that explicit instruction substantially enhances critical-thinking skills, suggesting that voters are capable of learning to evaluate political messages critically. Integrating this perspective would provide a more balanced discussion by recognising that critical thinking functions not only as a tool for persuasion but also as a safeguard against manipulation. While the argument is well-substantiated, a deeper exploration of the distinction between persuasion and manipulation would further strengthen the analysis.</w:t>
      </w:r>
    </w:p>
    <w:p w:rsidR="4BA0684B" w:rsidP="1A204512" w:rsidRDefault="4BA0684B" w14:paraId="4D5D1DF9" w14:textId="532AE47E">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 xml:space="preserve"> </w:t>
      </w:r>
    </w:p>
    <w:p w:rsidR="4BA0684B" w:rsidP="1A204512" w:rsidRDefault="4BA0684B" w14:paraId="2288766D" w14:textId="483D1DB8">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Reference:</w:t>
      </w:r>
    </w:p>
    <w:p w:rsidR="4BA0684B" w:rsidP="1A204512" w:rsidRDefault="4BA0684B" w14:paraId="0FC3F829" w14:textId="08A5EDFB">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 xml:space="preserve">Abrami, P. C., Bernard, R. M., Borokhovski, E., Wade, A., Surkes, M. A., Tamim, R., &amp; Zhang, D. (2008). Instructional Interventions Affecting critical thinking skills and dispositions: A Stage 1 Meta-Analysis. </w:t>
      </w:r>
      <w:r w:rsidRPr="1A204512" w:rsidR="4BA0684B">
        <w:rPr>
          <w:rFonts w:ascii="Aptos" w:hAnsi="Aptos" w:eastAsia="Aptos" w:cs="Aptos"/>
          <w:b w:val="0"/>
          <w:bCs w:val="0"/>
          <w:i w:val="1"/>
          <w:iCs w:val="1"/>
          <w:caps w:val="0"/>
          <w:smallCaps w:val="0"/>
          <w:noProof w:val="0"/>
          <w:color w:val="4C5A73"/>
          <w:sz w:val="24"/>
          <w:szCs w:val="24"/>
          <w:lang w:val="en-GB"/>
        </w:rPr>
        <w:t>Review of Educational Research</w:t>
      </w:r>
      <w:r w:rsidRPr="1A204512" w:rsidR="4BA0684B">
        <w:rPr>
          <w:rFonts w:ascii="Aptos" w:hAnsi="Aptos" w:eastAsia="Aptos" w:cs="Aptos"/>
          <w:b w:val="0"/>
          <w:bCs w:val="0"/>
          <w:i w:val="0"/>
          <w:iCs w:val="0"/>
          <w:caps w:val="0"/>
          <w:smallCaps w:val="0"/>
          <w:noProof w:val="0"/>
          <w:color w:val="4C5A73"/>
          <w:sz w:val="24"/>
          <w:szCs w:val="24"/>
          <w:lang w:val="en-GB"/>
        </w:rPr>
        <w:t xml:space="preserve">, </w:t>
      </w:r>
      <w:r w:rsidRPr="1A204512" w:rsidR="4BA0684B">
        <w:rPr>
          <w:rFonts w:ascii="Aptos" w:hAnsi="Aptos" w:eastAsia="Aptos" w:cs="Aptos"/>
          <w:b w:val="0"/>
          <w:bCs w:val="0"/>
          <w:i w:val="1"/>
          <w:iCs w:val="1"/>
          <w:caps w:val="0"/>
          <w:smallCaps w:val="0"/>
          <w:noProof w:val="0"/>
          <w:color w:val="4C5A73"/>
          <w:sz w:val="24"/>
          <w:szCs w:val="24"/>
          <w:lang w:val="en-GB"/>
        </w:rPr>
        <w:t>78</w:t>
      </w:r>
      <w:r w:rsidRPr="1A204512" w:rsidR="4BA0684B">
        <w:rPr>
          <w:rFonts w:ascii="Aptos" w:hAnsi="Aptos" w:eastAsia="Aptos" w:cs="Aptos"/>
          <w:b w:val="0"/>
          <w:bCs w:val="0"/>
          <w:i w:val="0"/>
          <w:iCs w:val="0"/>
          <w:caps w:val="0"/>
          <w:smallCaps w:val="0"/>
          <w:noProof w:val="0"/>
          <w:color w:val="4C5A73"/>
          <w:sz w:val="24"/>
          <w:szCs w:val="24"/>
          <w:lang w:val="en-GB"/>
        </w:rPr>
        <w:t xml:space="preserve">(4), 1102–1134. </w:t>
      </w:r>
      <w:hyperlink r:id="Rb853e1045f134930">
        <w:r w:rsidRPr="1A204512" w:rsidR="4BA0684B">
          <w:rPr>
            <w:rStyle w:val="Hyperlink"/>
            <w:b w:val="0"/>
            <w:bCs w:val="0"/>
            <w:i w:val="0"/>
            <w:iCs w:val="0"/>
            <w:caps w:val="0"/>
            <w:smallCaps w:val="0"/>
            <w:noProof w:val="0"/>
            <w:lang w:val="en-GB"/>
          </w:rPr>
          <w:t>https://doi.org/10.3102/0034654308326084</w:t>
        </w:r>
      </w:hyperlink>
    </w:p>
    <w:p w:rsidR="4BA0684B" w:rsidP="1A204512" w:rsidRDefault="4BA0684B" w14:paraId="07D1FB02" w14:textId="41D54504">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1A204512" w:rsidR="4BA0684B">
        <w:rPr>
          <w:rFonts w:ascii="Aptos" w:hAnsi="Aptos" w:eastAsia="Aptos" w:cs="Aptos"/>
          <w:b w:val="0"/>
          <w:bCs w:val="0"/>
          <w:i w:val="1"/>
          <w:iCs w:val="1"/>
          <w:caps w:val="0"/>
          <w:smallCaps w:val="0"/>
          <w:noProof w:val="0"/>
          <w:color w:val="4C5A73"/>
          <w:sz w:val="24"/>
          <w:szCs w:val="24"/>
          <w:lang w:val="en-GB"/>
        </w:rPr>
        <w:t>American Psychologist</w:t>
      </w:r>
      <w:r w:rsidRPr="1A204512" w:rsidR="4BA0684B">
        <w:rPr>
          <w:rFonts w:ascii="Aptos" w:hAnsi="Aptos" w:eastAsia="Aptos" w:cs="Aptos"/>
          <w:b w:val="0"/>
          <w:bCs w:val="0"/>
          <w:i w:val="0"/>
          <w:iCs w:val="0"/>
          <w:caps w:val="0"/>
          <w:smallCaps w:val="0"/>
          <w:noProof w:val="0"/>
          <w:color w:val="4C5A73"/>
          <w:sz w:val="24"/>
          <w:szCs w:val="24"/>
          <w:lang w:val="en-GB"/>
        </w:rPr>
        <w:t xml:space="preserve">, </w:t>
      </w:r>
      <w:r w:rsidRPr="1A204512" w:rsidR="4BA0684B">
        <w:rPr>
          <w:rFonts w:ascii="Aptos" w:hAnsi="Aptos" w:eastAsia="Aptos" w:cs="Aptos"/>
          <w:b w:val="0"/>
          <w:bCs w:val="0"/>
          <w:i w:val="1"/>
          <w:iCs w:val="1"/>
          <w:caps w:val="0"/>
          <w:smallCaps w:val="0"/>
          <w:noProof w:val="0"/>
          <w:color w:val="4C5A73"/>
          <w:sz w:val="24"/>
          <w:szCs w:val="24"/>
          <w:lang w:val="en-GB"/>
        </w:rPr>
        <w:t>53</w:t>
      </w:r>
      <w:r w:rsidRPr="1A204512" w:rsidR="4BA0684B">
        <w:rPr>
          <w:rFonts w:ascii="Aptos" w:hAnsi="Aptos" w:eastAsia="Aptos" w:cs="Aptos"/>
          <w:b w:val="0"/>
          <w:bCs w:val="0"/>
          <w:i w:val="0"/>
          <w:iCs w:val="0"/>
          <w:caps w:val="0"/>
          <w:smallCaps w:val="0"/>
          <w:noProof w:val="0"/>
          <w:color w:val="4C5A73"/>
          <w:sz w:val="24"/>
          <w:szCs w:val="24"/>
          <w:lang w:val="en-GB"/>
        </w:rPr>
        <w:t xml:space="preserve">(4), 449–455. </w:t>
      </w:r>
      <w:hyperlink r:id="R262be5973c4e4efc">
        <w:r w:rsidRPr="1A204512" w:rsidR="4BA0684B">
          <w:rPr>
            <w:rStyle w:val="Hyperlink"/>
            <w:b w:val="0"/>
            <w:bCs w:val="0"/>
            <w:i w:val="0"/>
            <w:iCs w:val="0"/>
            <w:caps w:val="0"/>
            <w:smallCaps w:val="0"/>
            <w:noProof w:val="0"/>
            <w:lang w:val="en-GB"/>
          </w:rPr>
          <w:t>https://doi.org/10.1037/0003-066x.53.4.449</w:t>
        </w:r>
      </w:hyperlink>
    </w:p>
    <w:p w:rsidR="4BA0684B" w:rsidP="1A204512" w:rsidRDefault="4BA0684B" w14:paraId="5151E642" w14:textId="628409DC">
      <w:pPr>
        <w:shd w:val="clear" w:color="auto" w:fill="FFFFFF" w:themeFill="background1"/>
        <w:spacing w:before="0" w:beforeAutospacing="off" w:after="240" w:afterAutospacing="off"/>
        <w:jc w:val="left"/>
      </w:pPr>
      <w:r w:rsidRPr="1A204512" w:rsidR="4BA0684B">
        <w:rPr>
          <w:rFonts w:ascii="Aptos" w:hAnsi="Aptos" w:eastAsia="Aptos" w:cs="Aptos"/>
          <w:b w:val="0"/>
          <w:bCs w:val="0"/>
          <w:i w:val="0"/>
          <w:iCs w:val="0"/>
          <w:caps w:val="0"/>
          <w:smallCaps w:val="0"/>
          <w:noProof w:val="0"/>
          <w:color w:val="4C5A73"/>
          <w:sz w:val="24"/>
          <w:szCs w:val="24"/>
          <w:lang w:val="en-GB"/>
        </w:rPr>
        <w:t xml:space="preserve">Heawood, J. (2018). Pseudo-public political speech: Democratic implications of the Cambridge Analytica scandal. </w:t>
      </w:r>
      <w:r w:rsidRPr="1A204512" w:rsidR="4BA0684B">
        <w:rPr>
          <w:rFonts w:ascii="Aptos" w:hAnsi="Aptos" w:eastAsia="Aptos" w:cs="Aptos"/>
          <w:b w:val="0"/>
          <w:bCs w:val="0"/>
          <w:i w:val="1"/>
          <w:iCs w:val="1"/>
          <w:caps w:val="0"/>
          <w:smallCaps w:val="0"/>
          <w:noProof w:val="0"/>
          <w:color w:val="4C5A73"/>
          <w:sz w:val="24"/>
          <w:szCs w:val="24"/>
          <w:lang w:val="en-GB"/>
        </w:rPr>
        <w:t>Information Polity</w:t>
      </w:r>
      <w:r w:rsidRPr="1A204512" w:rsidR="4BA0684B">
        <w:rPr>
          <w:rFonts w:ascii="Aptos" w:hAnsi="Aptos" w:eastAsia="Aptos" w:cs="Aptos"/>
          <w:b w:val="0"/>
          <w:bCs w:val="0"/>
          <w:i w:val="0"/>
          <w:iCs w:val="0"/>
          <w:caps w:val="0"/>
          <w:smallCaps w:val="0"/>
          <w:noProof w:val="0"/>
          <w:color w:val="4C5A73"/>
          <w:sz w:val="24"/>
          <w:szCs w:val="24"/>
          <w:lang w:val="en-GB"/>
        </w:rPr>
        <w:t xml:space="preserve">, </w:t>
      </w:r>
      <w:r w:rsidRPr="1A204512" w:rsidR="4BA0684B">
        <w:rPr>
          <w:rFonts w:ascii="Aptos" w:hAnsi="Aptos" w:eastAsia="Aptos" w:cs="Aptos"/>
          <w:b w:val="0"/>
          <w:bCs w:val="0"/>
          <w:i w:val="1"/>
          <w:iCs w:val="1"/>
          <w:caps w:val="0"/>
          <w:smallCaps w:val="0"/>
          <w:noProof w:val="0"/>
          <w:color w:val="4C5A73"/>
          <w:sz w:val="24"/>
          <w:szCs w:val="24"/>
          <w:lang w:val="en-GB"/>
        </w:rPr>
        <w:t>23</w:t>
      </w:r>
      <w:r w:rsidRPr="1A204512" w:rsidR="4BA0684B">
        <w:rPr>
          <w:rFonts w:ascii="Aptos" w:hAnsi="Aptos" w:eastAsia="Aptos" w:cs="Aptos"/>
          <w:b w:val="0"/>
          <w:bCs w:val="0"/>
          <w:i w:val="0"/>
          <w:iCs w:val="0"/>
          <w:caps w:val="0"/>
          <w:smallCaps w:val="0"/>
          <w:noProof w:val="0"/>
          <w:color w:val="4C5A73"/>
          <w:sz w:val="24"/>
          <w:szCs w:val="24"/>
          <w:lang w:val="en-GB"/>
        </w:rPr>
        <w:t xml:space="preserve">(4), 429–434. </w:t>
      </w:r>
      <w:hyperlink r:id="Rf44d118201034687">
        <w:r w:rsidRPr="1A204512" w:rsidR="4BA0684B">
          <w:rPr>
            <w:rStyle w:val="Hyperlink"/>
            <w:b w:val="0"/>
            <w:bCs w:val="0"/>
            <w:i w:val="0"/>
            <w:iCs w:val="0"/>
            <w:caps w:val="0"/>
            <w:smallCaps w:val="0"/>
            <w:noProof w:val="0"/>
            <w:lang w:val="en-GB"/>
          </w:rPr>
          <w:t>https://doi.org/10.3233/ip-180009</w:t>
        </w:r>
      </w:hyperlink>
    </w:p>
    <w:p w:rsidR="1A204512" w:rsidP="1A204512" w:rsidRDefault="1A204512" w14:paraId="2D49641D" w14:textId="1F63173F">
      <w:pPr>
        <w:pStyle w:val="Normal"/>
        <w:rPr>
          <w:b w:val="0"/>
          <w:bCs w:val="0"/>
          <w:i w:val="0"/>
          <w:iCs w:val="0"/>
          <w:caps w:val="0"/>
          <w:smallCaps w:val="0"/>
          <w:strike w:val="0"/>
          <w:dstrike w:val="0"/>
          <w:noProof w:val="0"/>
          <w:color w:val="CD202C"/>
          <w:u w:val="single"/>
          <w:lang w:val="en-GB"/>
        </w:rPr>
      </w:pPr>
    </w:p>
    <w:sectPr w:rsidR="00CC10B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98B2C9"/>
    <w:rsid w:val="00006528"/>
    <w:rsid w:val="00CC10B6"/>
    <w:rsid w:val="1198B2C9"/>
    <w:rsid w:val="1A204512"/>
    <w:rsid w:val="1E00771F"/>
    <w:rsid w:val="2924E997"/>
    <w:rsid w:val="2B999326"/>
    <w:rsid w:val="48F8BA3C"/>
    <w:rsid w:val="4BA0684B"/>
    <w:rsid w:val="572E6212"/>
    <w:rsid w:val="60546EB4"/>
    <w:rsid w:val="7818704E"/>
    <w:rsid w:val="7FABD21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E9F6"/>
  <w15:chartTrackingRefBased/>
  <w15:docId w15:val="{B146C7A5-F872-450D-BB6E-9BA6CB7F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8203&amp;course=15414" TargetMode="External" Id="R965715b44a0b4e8e" /><Relationship Type="http://schemas.openxmlformats.org/officeDocument/2006/relationships/hyperlink" Target="https://doi.org/10.3102/0034654314551063" TargetMode="External" Id="R4f0d59b0254e4f06" /><Relationship Type="http://schemas.openxmlformats.org/officeDocument/2006/relationships/hyperlink" Target="https://doi.org/10.1017/s0003055423001387" TargetMode="External" Id="R2ad72118972a4ba3" /><Relationship Type="http://schemas.openxmlformats.org/officeDocument/2006/relationships/hyperlink" Target="https://searchengineland.com/aimclears-psychographic-targeting-for-political-advertising-agencies-wins-237290" TargetMode="External" Id="Ra4de12957e724706" /><Relationship Type="http://schemas.openxmlformats.org/officeDocument/2006/relationships/hyperlink" Target="https://doi.org/10.1080/0965254x.2013.876072" TargetMode="External" Id="Re4a8b13c365e4f16" /><Relationship Type="http://schemas.openxmlformats.org/officeDocument/2006/relationships/hyperlink" Target="https://www.youtube.com/watch?v=we6uSVf4qss" TargetMode="External" Id="R388948cd3a4c4e59" /><Relationship Type="http://schemas.openxmlformats.org/officeDocument/2006/relationships/hyperlink" Target="https://doi.org/10.3102/0034654308326084" TargetMode="External" Id="R475c6eeb2a394435" /><Relationship Type="http://schemas.openxmlformats.org/officeDocument/2006/relationships/hyperlink" Target="https://www.communications.gov.uk/publication/gcs-evaluation-cycle/" TargetMode="External" Id="Rd4a59ce697a24c92" /><Relationship Type="http://schemas.openxmlformats.org/officeDocument/2006/relationships/hyperlink" Target="https://doi.org/10.1037/0003-066x.53.4.449" TargetMode="External" Id="Rfd04be28ffa34836" /><Relationship Type="http://schemas.openxmlformats.org/officeDocument/2006/relationships/hyperlink" Target="https://doi.org/10.3233/ip-180009" TargetMode="External" Id="R6fa08e8f3dec4433" /><Relationship Type="http://schemas.openxmlformats.org/officeDocument/2006/relationships/hyperlink" Target="https://doi.org/10.3102/0034654308326084" TargetMode="External" Id="Rb853e1045f134930" /><Relationship Type="http://schemas.openxmlformats.org/officeDocument/2006/relationships/hyperlink" Target="https://doi.org/10.1037/0003-066x.53.4.449" TargetMode="External" Id="R262be5973c4e4efc" /><Relationship Type="http://schemas.openxmlformats.org/officeDocument/2006/relationships/hyperlink" Target="https://doi.org/10.3233/ip-180009" TargetMode="External" Id="Rf44d1182010346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2026-08-28T11:43:00.0000000Z</dcterms:created>
  <dcterms:modified xsi:type="dcterms:W3CDTF">2026-08-28T11:45:02.5891888Z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2026-08-28T11:43:04Z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c618340c-adcc-40c9-8329-a773d286bfcb</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