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87FC9" w:rsidRDefault="00187FC9" w14:paraId="2DACA7AA" w14:textId="4BEFDD93"/>
    <w:p w:rsidR="00187FC9" w:rsidP="309E79D8" w:rsidRDefault="00187FC9" w14:paraId="5E5787A5" w14:textId="2C871ABE">
      <w:pPr>
        <w:pStyle w:val="Normal"/>
      </w:pPr>
      <w:r w:rsidRPr="309E79D8" w:rsidR="6EE6D3D7">
        <w:rPr>
          <w:rFonts w:ascii="Aptos" w:hAnsi="Aptos" w:eastAsia="Aptos" w:cs="Aptos"/>
          <w:b w:val="0"/>
          <w:bCs w:val="0"/>
          <w:i w:val="0"/>
          <w:iCs w:val="0"/>
          <w:caps w:val="0"/>
          <w:smallCaps w:val="0"/>
          <w:noProof w:val="0"/>
          <w:color w:val="4C5A73"/>
          <w:sz w:val="21"/>
          <w:szCs w:val="21"/>
          <w:lang w:val="en-GB"/>
        </w:rPr>
        <w:t>Danilma Paxigina</w:t>
      </w:r>
      <w:r>
        <w:br/>
      </w:r>
      <w:r>
        <w:br/>
      </w:r>
      <w:r w:rsidRPr="309E79D8" w:rsidR="697C1B8F">
        <w:rPr>
          <w:rFonts w:ascii="Aptos" w:hAnsi="Aptos" w:eastAsia="Aptos" w:cs="Aptos"/>
          <w:b w:val="0"/>
          <w:bCs w:val="0"/>
          <w:i w:val="0"/>
          <w:iCs w:val="0"/>
          <w:caps w:val="0"/>
          <w:smallCaps w:val="0"/>
          <w:noProof w:val="0"/>
          <w:color w:val="4C5A73"/>
          <w:sz w:val="21"/>
          <w:szCs w:val="21"/>
          <w:lang w:val="en-GB"/>
        </w:rPr>
        <w:t>Initial Post:</w:t>
      </w:r>
    </w:p>
    <w:p w:rsidR="63D15E2A" w:rsidP="309E79D8" w:rsidRDefault="63D15E2A" w14:paraId="2524873B" w14:textId="6E9DC7D9">
      <w:pPr>
        <w:shd w:val="clear" w:color="auto" w:fill="FFFFFF" w:themeFill="background1"/>
        <w:spacing w:before="0" w:beforeAutospacing="off" w:after="240" w:afterAutospacing="off"/>
        <w:jc w:val="left"/>
      </w:pPr>
      <w:r w:rsidRPr="309E79D8" w:rsidR="63D15E2A">
        <w:rPr>
          <w:rFonts w:ascii="Aptos" w:hAnsi="Aptos" w:eastAsia="Aptos" w:cs="Aptos"/>
          <w:b w:val="0"/>
          <w:bCs w:val="0"/>
          <w:i w:val="0"/>
          <w:iCs w:val="0"/>
          <w:caps w:val="0"/>
          <w:smallCaps w:val="0"/>
          <w:noProof w:val="0"/>
          <w:color w:val="4C5A73"/>
          <w:sz w:val="24"/>
          <w:szCs w:val="24"/>
          <w:lang w:val="en-GB"/>
        </w:rPr>
        <w:t xml:space="preserve">Psychographic political advertising, as described in aimClear’s Psychographic Targeting for Political Advertising Agencies WINS (2015), illustrates how modern campaigns increasingly rely on psychological profiling to tailor persuasive messages. Reflecting on this approach, I find that although psychographic messaging appears to focus on the audience, it often conflicts with the Gricean Cooperative Principle, which assumes communicators will be truthful, sufficiently informative, relevant, and clear. Personalised political content frequently violates these standards. By selectively presenting information to match emotional vulnerabilities, agencies breach quantity, and by exaggerating implications or framing information in emotionally charged ways, they risk violating quality. The hidden nature of psychographic targeting also undermines manner, as voters are unaware that the message they receive is uniquely crafted for their psychological profile. This makes the communication feel less cooperative and more strategically manipulative. </w:t>
      </w:r>
    </w:p>
    <w:p w:rsidR="63D15E2A" w:rsidP="309E79D8" w:rsidRDefault="63D15E2A" w14:paraId="6FFEBF56" w14:textId="6F89C3BF">
      <w:pPr>
        <w:shd w:val="clear" w:color="auto" w:fill="FFFFFF" w:themeFill="background1"/>
        <w:spacing w:before="0" w:beforeAutospacing="off" w:after="240" w:afterAutospacing="off"/>
        <w:jc w:val="left"/>
      </w:pPr>
      <w:r w:rsidRPr="309E79D8" w:rsidR="63D15E2A">
        <w:rPr>
          <w:rFonts w:ascii="Aptos" w:hAnsi="Aptos" w:eastAsia="Aptos" w:cs="Aptos"/>
          <w:b w:val="0"/>
          <w:bCs w:val="0"/>
          <w:i w:val="0"/>
          <w:iCs w:val="0"/>
          <w:caps w:val="0"/>
          <w:smallCaps w:val="0"/>
          <w:noProof w:val="0"/>
          <w:color w:val="4C5A73"/>
          <w:sz w:val="24"/>
          <w:szCs w:val="24"/>
          <w:lang w:val="en-GB"/>
        </w:rPr>
        <w:t xml:space="preserve">Halpern’s definition of critical thinking, purposeful, reasoned thinking, helps explain how agencies design these campaigns. The 2023 edition of Thought and Knowledge emphasises that critical thinking involves recognising cognitive biases, evaluating evidence, and making decisions that align with clearly defined goals (Halpern &amp; Dunn, 2023). These skills are central to psychographic strategy. Agencies must critically analyse large datasets, identify behavioural patterns, and make informed decisions about which message frames will resonate with specific psychological traits. In practice, this means applying critical thinking not only to data interpretation but also to anticipating how different audiences will reason about political information. </w:t>
      </w:r>
    </w:p>
    <w:p w:rsidR="63D15E2A" w:rsidP="309E79D8" w:rsidRDefault="63D15E2A" w14:paraId="646E158F" w14:textId="316CDB8D">
      <w:pPr>
        <w:shd w:val="clear" w:color="auto" w:fill="FFFFFF" w:themeFill="background1"/>
        <w:spacing w:before="0" w:beforeAutospacing="off" w:after="240" w:afterAutospacing="off"/>
        <w:jc w:val="left"/>
      </w:pPr>
      <w:r w:rsidRPr="309E79D8" w:rsidR="63D15E2A">
        <w:rPr>
          <w:rFonts w:ascii="Aptos" w:hAnsi="Aptos" w:eastAsia="Aptos" w:cs="Aptos"/>
          <w:b w:val="0"/>
          <w:bCs w:val="0"/>
          <w:i w:val="0"/>
          <w:iCs w:val="0"/>
          <w:caps w:val="0"/>
          <w:smallCaps w:val="0"/>
          <w:noProof w:val="0"/>
          <w:color w:val="4C5A73"/>
          <w:sz w:val="24"/>
          <w:szCs w:val="24"/>
          <w:lang w:val="en-GB"/>
        </w:rPr>
        <w:t>Evidence consistently shows that critical thinking skills can be learned, especially through explicit instruction, practice, and metacognitive reflection (Halpern, 1998; Halpern &amp; Dunn, 2023). Political advertising agencies often develop these skills through professional training, interdisciplinary collaboration with psychologists and data scientists, and iterative campaign evaluation. The 2023 edition highlights the importance of transfer, meaning that critical thinking improves when individuals practise applying skills across different contexts. Agencies do this naturally: A/B testing strengthens evaluative judgement, post campaign analysis encourages reflective thinking, and collaboration exposes staff to diverse reasoning styles. Over time, these experiences cultivate a workplace culture where critical thinking becomes embedded in strategic decision</w:t>
      </w:r>
      <w:r>
        <w:noBreakHyphen/>
      </w:r>
      <w:r w:rsidRPr="309E79D8" w:rsidR="63D15E2A">
        <w:rPr>
          <w:rFonts w:ascii="Aptos" w:hAnsi="Aptos" w:eastAsia="Aptos" w:cs="Aptos"/>
          <w:b w:val="0"/>
          <w:bCs w:val="0"/>
          <w:i w:val="0"/>
          <w:iCs w:val="0"/>
          <w:caps w:val="0"/>
          <w:smallCaps w:val="0"/>
          <w:noProof w:val="0"/>
          <w:color w:val="4C5A73"/>
          <w:sz w:val="24"/>
          <w:szCs w:val="24"/>
          <w:lang w:val="en-GB"/>
        </w:rPr>
        <w:t xml:space="preserve">making. </w:t>
      </w:r>
    </w:p>
    <w:p w:rsidR="63D15E2A" w:rsidP="309E79D8" w:rsidRDefault="63D15E2A" w14:paraId="58402C94" w14:textId="62A204EE">
      <w:pPr>
        <w:shd w:val="clear" w:color="auto" w:fill="FFFFFF" w:themeFill="background1"/>
        <w:spacing w:before="0" w:beforeAutospacing="off" w:after="240" w:afterAutospacing="off"/>
        <w:jc w:val="left"/>
      </w:pPr>
      <w:r w:rsidRPr="309E79D8" w:rsidR="63D15E2A">
        <w:rPr>
          <w:rFonts w:ascii="Aptos" w:hAnsi="Aptos" w:eastAsia="Aptos" w:cs="Aptos"/>
          <w:b w:val="0"/>
          <w:bCs w:val="0"/>
          <w:i w:val="0"/>
          <w:iCs w:val="0"/>
          <w:caps w:val="0"/>
          <w:smallCaps w:val="0"/>
          <w:noProof w:val="0"/>
          <w:color w:val="4C5A73"/>
          <w:sz w:val="24"/>
          <w:szCs w:val="24"/>
          <w:lang w:val="en-GB"/>
        </w:rPr>
        <w:t xml:space="preserve">Gricean cooperative communication remains relevant because critical thinking requires an understanding of how communication functions. Even when agencies intentionally bend or violate Gricean maxims, doing so still involves analytical reasoning about how audiences interpret messages. Halpern &amp; Dunn (2023) emphasise that reasoning is inseparable from communication, because people rely on conversational norms to judge credibility and coherence. Therefore, Gricean principles indirectly shape the application of critical thinking by helping agencies anticipate how audiences will process information, and how those interpretations can be influenced. </w:t>
      </w:r>
    </w:p>
    <w:p w:rsidR="63D15E2A" w:rsidP="309E79D8" w:rsidRDefault="63D15E2A" w14:paraId="662E2C60" w14:textId="6462A3CD">
      <w:pPr>
        <w:shd w:val="clear" w:color="auto" w:fill="FFFFFF" w:themeFill="background1"/>
        <w:spacing w:before="0" w:beforeAutospacing="off" w:after="240" w:afterAutospacing="off"/>
        <w:jc w:val="left"/>
      </w:pPr>
      <w:r w:rsidRPr="309E79D8" w:rsidR="63D15E2A">
        <w:rPr>
          <w:rFonts w:ascii="Aptos" w:hAnsi="Aptos" w:eastAsia="Aptos" w:cs="Aptos"/>
          <w:b w:val="0"/>
          <w:bCs w:val="0"/>
          <w:i w:val="0"/>
          <w:iCs w:val="0"/>
          <w:caps w:val="0"/>
          <w:smallCaps w:val="0"/>
          <w:noProof w:val="0"/>
          <w:color w:val="4C5A73"/>
          <w:sz w:val="24"/>
          <w:szCs w:val="24"/>
          <w:lang w:val="en-GB"/>
        </w:rPr>
        <w:t xml:space="preserve">In conclusion, psychographic political advertising often violates Gricean cooperative norms by prioritising persuasion over transparent communication. Yet the development of such campaigns relies heavily on critical thinking skills, which can be learned through structured practice and reflective analysis. Gricean principles remain relevant because they inform how agencies evaluate and manipulate communication, highlighting the complex relationship between cooperative communication and strategic political messaging. </w:t>
      </w:r>
    </w:p>
    <w:p w:rsidR="63D15E2A" w:rsidP="309E79D8" w:rsidRDefault="63D15E2A" w14:paraId="5E15E1A7" w14:textId="346AE10E">
      <w:pPr>
        <w:shd w:val="clear" w:color="auto" w:fill="FFFFFF" w:themeFill="background1"/>
        <w:spacing w:before="0" w:beforeAutospacing="off" w:after="240" w:afterAutospacing="off"/>
        <w:jc w:val="left"/>
      </w:pPr>
      <w:r w:rsidRPr="309E79D8" w:rsidR="63D15E2A">
        <w:rPr>
          <w:rFonts w:ascii="Aptos" w:hAnsi="Aptos" w:eastAsia="Aptos" w:cs="Aptos"/>
          <w:b w:val="1"/>
          <w:bCs w:val="1"/>
          <w:i w:val="0"/>
          <w:iCs w:val="0"/>
          <w:caps w:val="0"/>
          <w:smallCaps w:val="0"/>
          <w:noProof w:val="0"/>
          <w:color w:val="4C5A73"/>
          <w:sz w:val="24"/>
          <w:szCs w:val="24"/>
          <w:lang w:val="en-GB"/>
        </w:rPr>
        <w:t>REFERENCES</w:t>
      </w:r>
      <w:r w:rsidRPr="309E79D8" w:rsidR="63D15E2A">
        <w:rPr>
          <w:rFonts w:ascii="Aptos" w:hAnsi="Aptos" w:eastAsia="Aptos" w:cs="Aptos"/>
          <w:b w:val="0"/>
          <w:bCs w:val="0"/>
          <w:i w:val="0"/>
          <w:iCs w:val="0"/>
          <w:caps w:val="0"/>
          <w:smallCaps w:val="0"/>
          <w:noProof w:val="0"/>
          <w:color w:val="4C5A73"/>
          <w:sz w:val="24"/>
          <w:szCs w:val="24"/>
          <w:lang w:val="en-GB"/>
        </w:rPr>
        <w:t xml:space="preserve"> </w:t>
      </w:r>
    </w:p>
    <w:p w:rsidR="63D15E2A" w:rsidP="309E79D8" w:rsidRDefault="63D15E2A" w14:paraId="5FBE8593" w14:textId="7C372433">
      <w:pPr>
        <w:shd w:val="clear" w:color="auto" w:fill="FFFFFF" w:themeFill="background1"/>
        <w:spacing w:before="0" w:beforeAutospacing="off" w:after="240" w:afterAutospacing="off"/>
        <w:jc w:val="left"/>
      </w:pPr>
      <w:r w:rsidRPr="309E79D8" w:rsidR="63D15E2A">
        <w:rPr>
          <w:rFonts w:ascii="Aptos" w:hAnsi="Aptos" w:eastAsia="Aptos" w:cs="Aptos"/>
          <w:b w:val="0"/>
          <w:bCs w:val="0"/>
          <w:i w:val="0"/>
          <w:iCs w:val="0"/>
          <w:caps w:val="0"/>
          <w:smallCaps w:val="0"/>
          <w:noProof w:val="0"/>
          <w:color w:val="4C5A73"/>
          <w:sz w:val="24"/>
          <w:szCs w:val="24"/>
          <w:lang w:val="en-GB"/>
        </w:rPr>
        <w:t xml:space="preserve">aimClear. (2015). </w:t>
      </w:r>
      <w:r w:rsidRPr="309E79D8" w:rsidR="63D15E2A">
        <w:rPr>
          <w:rFonts w:ascii="Aptos" w:hAnsi="Aptos" w:eastAsia="Aptos" w:cs="Aptos"/>
          <w:b w:val="0"/>
          <w:bCs w:val="0"/>
          <w:i w:val="1"/>
          <w:iCs w:val="1"/>
          <w:caps w:val="0"/>
          <w:smallCaps w:val="0"/>
          <w:noProof w:val="0"/>
          <w:color w:val="4C5A73"/>
          <w:sz w:val="24"/>
          <w:szCs w:val="24"/>
          <w:lang w:val="en-GB"/>
        </w:rPr>
        <w:t>Psychographic targeting for political advertising agencies WINS</w:t>
      </w:r>
      <w:r w:rsidRPr="309E79D8" w:rsidR="63D15E2A">
        <w:rPr>
          <w:rFonts w:ascii="Aptos" w:hAnsi="Aptos" w:eastAsia="Aptos" w:cs="Aptos"/>
          <w:b w:val="0"/>
          <w:bCs w:val="0"/>
          <w:i w:val="0"/>
          <w:iCs w:val="0"/>
          <w:caps w:val="0"/>
          <w:smallCaps w:val="0"/>
          <w:noProof w:val="0"/>
          <w:color w:val="4C5A73"/>
          <w:sz w:val="24"/>
          <w:szCs w:val="24"/>
          <w:lang w:val="en-GB"/>
        </w:rPr>
        <w:t xml:space="preserve">. aimClear Blog. </w:t>
      </w:r>
    </w:p>
    <w:p w:rsidR="63D15E2A" w:rsidP="309E79D8" w:rsidRDefault="63D15E2A" w14:paraId="057D38BD" w14:textId="4CC16CF1">
      <w:pPr>
        <w:shd w:val="clear" w:color="auto" w:fill="FFFFFF" w:themeFill="background1"/>
        <w:spacing w:before="0" w:beforeAutospacing="off" w:after="240" w:afterAutospacing="off"/>
        <w:jc w:val="left"/>
      </w:pPr>
      <w:r w:rsidRPr="309E79D8" w:rsidR="63D15E2A">
        <w:rPr>
          <w:rFonts w:ascii="Aptos" w:hAnsi="Aptos" w:eastAsia="Aptos" w:cs="Aptos"/>
          <w:b w:val="0"/>
          <w:bCs w:val="0"/>
          <w:i w:val="0"/>
          <w:iCs w:val="0"/>
          <w:caps w:val="0"/>
          <w:smallCaps w:val="0"/>
          <w:noProof w:val="0"/>
          <w:color w:val="4C5A73"/>
          <w:sz w:val="24"/>
          <w:szCs w:val="24"/>
          <w:lang w:val="en-GB"/>
        </w:rPr>
        <w:t>Halpern, D. F. (1998). Teaching critical thinking for transfer across domains. A</w:t>
      </w:r>
      <w:r w:rsidRPr="309E79D8" w:rsidR="63D15E2A">
        <w:rPr>
          <w:rFonts w:ascii="Aptos" w:hAnsi="Aptos" w:eastAsia="Aptos" w:cs="Aptos"/>
          <w:b w:val="0"/>
          <w:bCs w:val="0"/>
          <w:i w:val="1"/>
          <w:iCs w:val="1"/>
          <w:caps w:val="0"/>
          <w:smallCaps w:val="0"/>
          <w:noProof w:val="0"/>
          <w:color w:val="4C5A73"/>
          <w:sz w:val="24"/>
          <w:szCs w:val="24"/>
          <w:lang w:val="en-GB"/>
        </w:rPr>
        <w:t>merican Psychologist, 53</w:t>
      </w:r>
      <w:r w:rsidRPr="309E79D8" w:rsidR="63D15E2A">
        <w:rPr>
          <w:rFonts w:ascii="Aptos" w:hAnsi="Aptos" w:eastAsia="Aptos" w:cs="Aptos"/>
          <w:b w:val="0"/>
          <w:bCs w:val="0"/>
          <w:i w:val="0"/>
          <w:iCs w:val="0"/>
          <w:caps w:val="0"/>
          <w:smallCaps w:val="0"/>
          <w:noProof w:val="0"/>
          <w:color w:val="4C5A73"/>
          <w:sz w:val="24"/>
          <w:szCs w:val="24"/>
          <w:lang w:val="en-GB"/>
        </w:rPr>
        <w:t xml:space="preserve">(4), 449–455. </w:t>
      </w:r>
    </w:p>
    <w:p w:rsidR="63D15E2A" w:rsidP="309E79D8" w:rsidRDefault="63D15E2A" w14:paraId="2238C8AD" w14:textId="64FBED8C">
      <w:pPr>
        <w:pBdr>
          <w:bottom w:val="single" w:color="000000" w:sz="6" w:space="1"/>
        </w:pBdr>
        <w:shd w:val="clear" w:color="auto" w:fill="FFFFFF" w:themeFill="background1"/>
        <w:spacing w:before="0" w:beforeAutospacing="off" w:after="240" w:afterAutospacing="off"/>
        <w:jc w:val="left"/>
      </w:pPr>
      <w:r w:rsidRPr="309E79D8" w:rsidR="63D15E2A">
        <w:rPr>
          <w:rFonts w:ascii="Aptos" w:hAnsi="Aptos" w:eastAsia="Aptos" w:cs="Aptos"/>
          <w:b w:val="0"/>
          <w:bCs w:val="0"/>
          <w:i w:val="0"/>
          <w:iCs w:val="0"/>
          <w:caps w:val="0"/>
          <w:smallCaps w:val="0"/>
          <w:noProof w:val="0"/>
          <w:color w:val="4C5A73"/>
          <w:sz w:val="24"/>
          <w:szCs w:val="24"/>
          <w:lang w:val="en-GB"/>
        </w:rPr>
        <w:t xml:space="preserve">Halpern, D. F., &amp; Dunn, D. S. (2023). </w:t>
      </w:r>
      <w:r w:rsidRPr="309E79D8" w:rsidR="63D15E2A">
        <w:rPr>
          <w:rFonts w:ascii="Aptos" w:hAnsi="Aptos" w:eastAsia="Aptos" w:cs="Aptos"/>
          <w:b w:val="0"/>
          <w:bCs w:val="0"/>
          <w:i w:val="1"/>
          <w:iCs w:val="1"/>
          <w:caps w:val="0"/>
          <w:smallCaps w:val="0"/>
          <w:noProof w:val="0"/>
          <w:color w:val="4C5A73"/>
          <w:sz w:val="24"/>
          <w:szCs w:val="24"/>
          <w:lang w:val="en-GB"/>
        </w:rPr>
        <w:t>Thought and knowledge: An introduction to critical thinking</w:t>
      </w:r>
      <w:r w:rsidRPr="309E79D8" w:rsidR="63D15E2A">
        <w:rPr>
          <w:rFonts w:ascii="Aptos" w:hAnsi="Aptos" w:eastAsia="Aptos" w:cs="Aptos"/>
          <w:b w:val="0"/>
          <w:bCs w:val="0"/>
          <w:i w:val="0"/>
          <w:iCs w:val="0"/>
          <w:caps w:val="0"/>
          <w:smallCaps w:val="0"/>
          <w:noProof w:val="0"/>
          <w:color w:val="4C5A73"/>
          <w:sz w:val="24"/>
          <w:szCs w:val="24"/>
          <w:lang w:val="en-GB"/>
        </w:rPr>
        <w:t xml:space="preserve"> (6th ed.). Routledge.</w:t>
      </w:r>
    </w:p>
    <w:p w:rsidR="309E79D8" w:rsidP="309E79D8" w:rsidRDefault="309E79D8" w14:paraId="4F8D0170" w14:textId="359B424F">
      <w:pPr>
        <w:pStyle w:val="Normal"/>
        <w:rPr>
          <w:rFonts w:ascii="Aptos" w:hAnsi="Aptos" w:eastAsia="Aptos" w:cs="Aptos"/>
          <w:b w:val="0"/>
          <w:bCs w:val="0"/>
          <w:i w:val="0"/>
          <w:iCs w:val="0"/>
          <w:caps w:val="0"/>
          <w:smallCaps w:val="0"/>
          <w:noProof w:val="0"/>
          <w:color w:val="4C5A73"/>
          <w:sz w:val="21"/>
          <w:szCs w:val="21"/>
          <w:lang w:val="en-GB"/>
        </w:rPr>
      </w:pPr>
    </w:p>
    <w:p w:rsidR="63D15E2A" w:rsidP="309E79D8" w:rsidRDefault="63D15E2A" w14:paraId="0CA4F0D1" w14:textId="63A0D107">
      <w:pPr>
        <w:pStyle w:val="Normal"/>
        <w:shd w:val="clear" w:color="auto" w:fill="FFFFFF" w:themeFill="background1"/>
        <w:spacing w:before="0" w:beforeAutospacing="off" w:after="240" w:afterAutospacing="off"/>
        <w:jc w:val="left"/>
      </w:pPr>
      <w:r w:rsidRPr="309E79D8" w:rsidR="63D15E2A">
        <w:rPr>
          <w:rFonts w:ascii="Aptos" w:hAnsi="Aptos" w:eastAsia="Aptos" w:cs="Aptos"/>
          <w:b w:val="0"/>
          <w:bCs w:val="0"/>
          <w:i w:val="0"/>
          <w:iCs w:val="0"/>
          <w:caps w:val="0"/>
          <w:smallCaps w:val="0"/>
          <w:noProof w:val="0"/>
          <w:color w:val="4C5A73"/>
          <w:sz w:val="21"/>
          <w:szCs w:val="21"/>
          <w:lang w:val="en-GB"/>
        </w:rPr>
        <w:t>PR1:</w:t>
      </w:r>
      <w:r>
        <w:br/>
      </w:r>
      <w:r>
        <w:br/>
      </w:r>
      <w:r w:rsidRPr="309E79D8" w:rsidR="5C4F4D95">
        <w:rPr>
          <w:rFonts w:ascii="Aptos" w:hAnsi="Aptos" w:eastAsia="Aptos" w:cs="Aptos"/>
          <w:b w:val="0"/>
          <w:bCs w:val="0"/>
          <w:i w:val="0"/>
          <w:iCs w:val="0"/>
          <w:caps w:val="0"/>
          <w:smallCaps w:val="0"/>
          <w:noProof w:val="0"/>
          <w:color w:val="4C5A73"/>
          <w:sz w:val="24"/>
          <w:szCs w:val="24"/>
          <w:lang w:val="en-GB"/>
        </w:rPr>
        <w:t xml:space="preserve">Wow Neeru, I enjoyed reading your post, particularly how you explored the relationship between psychographic targeting and Grice’s (1975) Cooperative Principle. One strong aspect of your argument is that you don’t treat targeted advertising as violating Grice’s maxims. Instead, you recognise the ethical issue depends on how information is selected and presented. I think this is important because targeting can make communication more relevant and accessible, but the process could be used to manipulate what information a voter receives. </w:t>
      </w:r>
    </w:p>
    <w:p w:rsidR="5C4F4D95" w:rsidP="309E79D8" w:rsidRDefault="5C4F4D95" w14:paraId="1A426903" w14:textId="465F8D6E">
      <w:pPr>
        <w:shd w:val="clear" w:color="auto" w:fill="FFFFFF" w:themeFill="background1"/>
        <w:spacing w:before="0" w:beforeAutospacing="off" w:after="240" w:afterAutospacing="off"/>
        <w:jc w:val="left"/>
      </w:pPr>
      <w:r w:rsidRPr="309E79D8" w:rsidR="5C4F4D95">
        <w:rPr>
          <w:rFonts w:ascii="Aptos" w:hAnsi="Aptos" w:eastAsia="Aptos" w:cs="Aptos"/>
          <w:b w:val="0"/>
          <w:bCs w:val="0"/>
          <w:i w:val="0"/>
          <w:iCs w:val="0"/>
          <w:caps w:val="0"/>
          <w:smallCaps w:val="0"/>
          <w:noProof w:val="0"/>
          <w:color w:val="4C5A73"/>
          <w:sz w:val="24"/>
          <w:szCs w:val="24"/>
          <w:lang w:val="en-GB"/>
        </w:rPr>
        <w:t xml:space="preserve">Your discussion of quantity was interesting because it highlights how providing information is not necessarily the same as providing enough information. A political advertisement could contain accurate and relevant claims while presenting only a small part of a candidate’s position. This raises an important question about whether communication can be considered cooperative when the audience is unaware of what’s been omitted. I think the argument could be developed further by considering the responsibility of advertisers to provide context, rather than simply focusing on whether the information provided is technically accurate. </w:t>
      </w:r>
    </w:p>
    <w:p w:rsidR="5C4F4D95" w:rsidP="309E79D8" w:rsidRDefault="5C4F4D95" w14:paraId="24535663" w14:textId="25DD29B7">
      <w:pPr>
        <w:shd w:val="clear" w:color="auto" w:fill="FFFFFF" w:themeFill="background1"/>
        <w:spacing w:before="0" w:beforeAutospacing="off" w:after="240" w:afterAutospacing="off"/>
        <w:jc w:val="left"/>
      </w:pPr>
      <w:r w:rsidRPr="309E79D8" w:rsidR="5C4F4D95">
        <w:rPr>
          <w:rFonts w:ascii="Aptos" w:hAnsi="Aptos" w:eastAsia="Aptos" w:cs="Aptos"/>
          <w:b w:val="0"/>
          <w:bCs w:val="0"/>
          <w:i w:val="0"/>
          <w:iCs w:val="0"/>
          <w:caps w:val="0"/>
          <w:smallCaps w:val="0"/>
          <w:noProof w:val="0"/>
          <w:color w:val="4C5A73"/>
          <w:sz w:val="24"/>
          <w:szCs w:val="24"/>
          <w:lang w:val="en-GB"/>
        </w:rPr>
        <w:t xml:space="preserve">I also found your discussion of critical thinking convincing, particularly your point that agencies can use critical thinking skills to analyse voter behaviour and improve the effectiveness of their campaigns. However, I think there is a tension between using critical thinking to understand an audience and using it to promote communication. The evidence from Abrami et al. (2015) and Niu et al. (2013) supports the idea that critical thinking can be developed, but it does not demonstrate that these skills will be used ethically. This makes your conclusion significant because being able to critically evaluate information does not mean that the information produced for others will be balanced. </w:t>
      </w:r>
    </w:p>
    <w:p w:rsidR="5C4F4D95" w:rsidP="309E79D8" w:rsidRDefault="5C4F4D95" w14:paraId="1BC469AC" w14:textId="12B2E243">
      <w:pPr>
        <w:shd w:val="clear" w:color="auto" w:fill="FFFFFF" w:themeFill="background1"/>
        <w:spacing w:before="0" w:beforeAutospacing="off" w:after="240" w:afterAutospacing="off"/>
        <w:jc w:val="left"/>
      </w:pPr>
      <w:r w:rsidRPr="309E79D8" w:rsidR="5C4F4D95">
        <w:rPr>
          <w:rFonts w:ascii="Aptos" w:hAnsi="Aptos" w:eastAsia="Aptos" w:cs="Aptos"/>
          <w:b w:val="0"/>
          <w:bCs w:val="0"/>
          <w:i w:val="0"/>
          <w:iCs w:val="0"/>
          <w:caps w:val="0"/>
          <w:smallCaps w:val="0"/>
          <w:noProof w:val="0"/>
          <w:color w:val="4C5A73"/>
          <w:sz w:val="24"/>
          <w:szCs w:val="24"/>
          <w:lang w:val="en-GB"/>
        </w:rPr>
        <w:t xml:space="preserve">Overall, I think your post demonstrates that persuasion and cooperative communication are not necessarily the same thing. Your application of Grice’s maxims provides a framework for identifying where targeted advertising may become problematic, while your discussion of critical thinking shows why analytical ability does not always result in transparency. </w:t>
      </w:r>
    </w:p>
    <w:p w:rsidR="5C4F4D95" w:rsidP="309E79D8" w:rsidRDefault="5C4F4D95" w14:paraId="25422244" w14:textId="3D1A1FA4">
      <w:pPr>
        <w:shd w:val="clear" w:color="auto" w:fill="FFFFFF" w:themeFill="background1"/>
        <w:spacing w:before="0" w:beforeAutospacing="off" w:after="240" w:afterAutospacing="off"/>
        <w:jc w:val="left"/>
      </w:pPr>
      <w:r w:rsidRPr="309E79D8" w:rsidR="5C4F4D95">
        <w:rPr>
          <w:rFonts w:ascii="Aptos" w:hAnsi="Aptos" w:eastAsia="Aptos" w:cs="Aptos"/>
          <w:b w:val="1"/>
          <w:bCs w:val="1"/>
          <w:i w:val="0"/>
          <w:iCs w:val="0"/>
          <w:caps w:val="0"/>
          <w:smallCaps w:val="0"/>
          <w:noProof w:val="0"/>
          <w:color w:val="4C5A73"/>
          <w:sz w:val="24"/>
          <w:szCs w:val="24"/>
          <w:lang w:val="en-GB"/>
        </w:rPr>
        <w:t>References</w:t>
      </w:r>
      <w:r w:rsidRPr="309E79D8" w:rsidR="5C4F4D95">
        <w:rPr>
          <w:rFonts w:ascii="Aptos" w:hAnsi="Aptos" w:eastAsia="Aptos" w:cs="Aptos"/>
          <w:b w:val="0"/>
          <w:bCs w:val="0"/>
          <w:i w:val="0"/>
          <w:iCs w:val="0"/>
          <w:caps w:val="0"/>
          <w:smallCaps w:val="0"/>
          <w:noProof w:val="0"/>
          <w:color w:val="4C5A73"/>
          <w:sz w:val="24"/>
          <w:szCs w:val="24"/>
          <w:lang w:val="en-GB"/>
        </w:rPr>
        <w:t xml:space="preserve"> </w:t>
      </w:r>
    </w:p>
    <w:p w:rsidR="5C4F4D95" w:rsidP="309E79D8" w:rsidRDefault="5C4F4D95" w14:paraId="064AA620" w14:textId="4B28C495">
      <w:pPr>
        <w:shd w:val="clear" w:color="auto" w:fill="FFFFFF" w:themeFill="background1"/>
        <w:spacing w:before="0" w:beforeAutospacing="off" w:after="240" w:afterAutospacing="off"/>
        <w:jc w:val="left"/>
      </w:pPr>
      <w:r w:rsidRPr="309E79D8" w:rsidR="5C4F4D95">
        <w:rPr>
          <w:rFonts w:ascii="Aptos" w:hAnsi="Aptos" w:eastAsia="Aptos" w:cs="Aptos"/>
          <w:b w:val="0"/>
          <w:bCs w:val="0"/>
          <w:i w:val="0"/>
          <w:iCs w:val="0"/>
          <w:caps w:val="0"/>
          <w:smallCaps w:val="0"/>
          <w:noProof w:val="0"/>
          <w:color w:val="4C5A73"/>
          <w:sz w:val="24"/>
          <w:szCs w:val="24"/>
          <w:lang w:val="en-GB"/>
        </w:rPr>
        <w:t xml:space="preserve">Abrami, P. C., Bernard, R. M., Borokhovski, E., Waddington, D. I., Wade, C. A., &amp; Persson, T.       (2015). Strategies for teaching students to think critically: A meta-analysis. </w:t>
      </w:r>
      <w:r w:rsidRPr="309E79D8" w:rsidR="5C4F4D95">
        <w:rPr>
          <w:rFonts w:ascii="Aptos" w:hAnsi="Aptos" w:eastAsia="Aptos" w:cs="Aptos"/>
          <w:b w:val="0"/>
          <w:bCs w:val="0"/>
          <w:i w:val="1"/>
          <w:iCs w:val="1"/>
          <w:caps w:val="0"/>
          <w:smallCaps w:val="0"/>
          <w:noProof w:val="0"/>
          <w:color w:val="4C5A73"/>
          <w:sz w:val="24"/>
          <w:szCs w:val="24"/>
          <w:lang w:val="en-GB"/>
        </w:rPr>
        <w:t>Review of               Educational Research, 85</w:t>
      </w:r>
      <w:r w:rsidRPr="309E79D8" w:rsidR="5C4F4D95">
        <w:rPr>
          <w:rFonts w:ascii="Aptos" w:hAnsi="Aptos" w:eastAsia="Aptos" w:cs="Aptos"/>
          <w:b w:val="0"/>
          <w:bCs w:val="0"/>
          <w:i w:val="0"/>
          <w:iCs w:val="0"/>
          <w:caps w:val="0"/>
          <w:smallCaps w:val="0"/>
          <w:noProof w:val="0"/>
          <w:color w:val="4C5A73"/>
          <w:sz w:val="24"/>
          <w:szCs w:val="24"/>
          <w:lang w:val="en-GB"/>
        </w:rPr>
        <w:t xml:space="preserve">(2), 275–314. </w:t>
      </w:r>
      <w:hyperlink r:id="R20c5a64a702749a8">
        <w:r w:rsidRPr="309E79D8" w:rsidR="5C4F4D95">
          <w:rPr>
            <w:rStyle w:val="Hyperlink"/>
            <w:b w:val="1"/>
            <w:bCs w:val="1"/>
            <w:i w:val="0"/>
            <w:iCs w:val="0"/>
            <w:caps w:val="0"/>
            <w:smallCaps w:val="0"/>
            <w:strike w:val="0"/>
            <w:dstrike w:val="0"/>
            <w:noProof w:val="0"/>
            <w:color w:val="622567"/>
            <w:u w:val="single"/>
            <w:lang w:val="en-GB"/>
          </w:rPr>
          <w:t>https://doi.org/10.3102/0034654314551063</w:t>
        </w:r>
      </w:hyperlink>
      <w:r w:rsidRPr="309E79D8" w:rsidR="5C4F4D95">
        <w:rPr>
          <w:rFonts w:ascii="Aptos" w:hAnsi="Aptos" w:eastAsia="Aptos" w:cs="Aptos"/>
          <w:b w:val="0"/>
          <w:bCs w:val="0"/>
          <w:i w:val="0"/>
          <w:iCs w:val="0"/>
          <w:caps w:val="0"/>
          <w:smallCaps w:val="0"/>
          <w:noProof w:val="0"/>
          <w:color w:val="4C5A73"/>
          <w:sz w:val="24"/>
          <w:szCs w:val="24"/>
          <w:lang w:val="en-GB"/>
        </w:rPr>
        <w:t xml:space="preserve"> </w:t>
      </w:r>
    </w:p>
    <w:p w:rsidR="5C4F4D95" w:rsidP="309E79D8" w:rsidRDefault="5C4F4D95" w14:paraId="234EACCA" w14:textId="1ED8F562">
      <w:pPr>
        <w:shd w:val="clear" w:color="auto" w:fill="FFFFFF" w:themeFill="background1"/>
        <w:spacing w:before="0" w:beforeAutospacing="off" w:after="240" w:afterAutospacing="off"/>
        <w:jc w:val="left"/>
      </w:pPr>
      <w:r w:rsidRPr="309E79D8" w:rsidR="5C4F4D95">
        <w:rPr>
          <w:rFonts w:ascii="Aptos" w:hAnsi="Aptos" w:eastAsia="Aptos" w:cs="Aptos"/>
          <w:b w:val="0"/>
          <w:bCs w:val="0"/>
          <w:i w:val="0"/>
          <w:iCs w:val="0"/>
          <w:caps w:val="0"/>
          <w:smallCaps w:val="0"/>
          <w:noProof w:val="0"/>
          <w:color w:val="4C5A73"/>
          <w:sz w:val="24"/>
          <w:szCs w:val="24"/>
          <w:lang w:val="en-GB"/>
        </w:rPr>
        <w:t xml:space="preserve">Grice, H. P. (1975). Logic and conversation. In P. Cole &amp; J. L. Morgan (Eds.), </w:t>
      </w:r>
      <w:r w:rsidRPr="309E79D8" w:rsidR="5C4F4D95">
        <w:rPr>
          <w:rFonts w:ascii="Aptos" w:hAnsi="Aptos" w:eastAsia="Aptos" w:cs="Aptos"/>
          <w:b w:val="0"/>
          <w:bCs w:val="0"/>
          <w:i w:val="1"/>
          <w:iCs w:val="1"/>
          <w:caps w:val="0"/>
          <w:smallCaps w:val="0"/>
          <w:noProof w:val="0"/>
          <w:color w:val="4C5A73"/>
          <w:sz w:val="24"/>
          <w:szCs w:val="24"/>
          <w:lang w:val="en-GB"/>
        </w:rPr>
        <w:t>Syntax and            semantics: Vol. 3. Speech acts</w:t>
      </w:r>
      <w:r w:rsidRPr="309E79D8" w:rsidR="5C4F4D95">
        <w:rPr>
          <w:rFonts w:ascii="Aptos" w:hAnsi="Aptos" w:eastAsia="Aptos" w:cs="Aptos"/>
          <w:b w:val="0"/>
          <w:bCs w:val="0"/>
          <w:i w:val="0"/>
          <w:iCs w:val="0"/>
          <w:caps w:val="0"/>
          <w:smallCaps w:val="0"/>
          <w:noProof w:val="0"/>
          <w:color w:val="4C5A73"/>
          <w:sz w:val="24"/>
          <w:szCs w:val="24"/>
          <w:lang w:val="en-GB"/>
        </w:rPr>
        <w:t xml:space="preserve"> (pp. 41–58). Academic Press. </w:t>
      </w:r>
    </w:p>
    <w:p w:rsidR="5C4F4D95" w:rsidP="309E79D8" w:rsidRDefault="5C4F4D95" w14:paraId="3835BCEC" w14:textId="60BEAFE9">
      <w:pPr>
        <w:shd w:val="clear" w:color="auto" w:fill="FFFFFF" w:themeFill="background1"/>
        <w:spacing w:before="0" w:beforeAutospacing="off" w:after="240" w:afterAutospacing="off"/>
        <w:jc w:val="left"/>
        <w:rPr>
          <w:rFonts w:ascii="Aptos" w:hAnsi="Aptos" w:eastAsia="Aptos" w:cs="Aptos"/>
          <w:b w:val="0"/>
          <w:bCs w:val="0"/>
          <w:i w:val="0"/>
          <w:iCs w:val="0"/>
          <w:caps w:val="0"/>
          <w:smallCaps w:val="0"/>
          <w:noProof w:val="0"/>
          <w:color w:val="4C5A73"/>
          <w:sz w:val="24"/>
          <w:szCs w:val="24"/>
          <w:lang w:val="en-GB"/>
        </w:rPr>
      </w:pPr>
      <w:r w:rsidRPr="309E79D8" w:rsidR="5C4F4D95">
        <w:rPr>
          <w:rFonts w:ascii="Aptos" w:hAnsi="Aptos" w:eastAsia="Aptos" w:cs="Aptos"/>
          <w:b w:val="0"/>
          <w:bCs w:val="0"/>
          <w:i w:val="0"/>
          <w:iCs w:val="0"/>
          <w:caps w:val="0"/>
          <w:smallCaps w:val="0"/>
          <w:noProof w:val="0"/>
          <w:color w:val="4C5A73"/>
          <w:sz w:val="24"/>
          <w:szCs w:val="24"/>
          <w:lang w:val="en-GB"/>
        </w:rPr>
        <w:t xml:space="preserve">Niu, L., Behar-Horenstein, L. S., &amp; Garvan, C. W. (2013). Do instructional interventions                influence college students’ critical thinking skills? A meta-analysis. </w:t>
      </w:r>
      <w:r w:rsidRPr="309E79D8" w:rsidR="5C4F4D95">
        <w:rPr>
          <w:rFonts w:ascii="Aptos" w:hAnsi="Aptos" w:eastAsia="Aptos" w:cs="Aptos"/>
          <w:b w:val="0"/>
          <w:bCs w:val="0"/>
          <w:i w:val="1"/>
          <w:iCs w:val="1"/>
          <w:caps w:val="0"/>
          <w:smallCaps w:val="0"/>
          <w:noProof w:val="0"/>
          <w:color w:val="4C5A73"/>
          <w:sz w:val="24"/>
          <w:szCs w:val="24"/>
          <w:lang w:val="en-GB"/>
        </w:rPr>
        <w:t>Educational Research        Review, 9,</w:t>
      </w:r>
      <w:r w:rsidRPr="309E79D8" w:rsidR="5C4F4D95">
        <w:rPr>
          <w:rFonts w:ascii="Aptos" w:hAnsi="Aptos" w:eastAsia="Aptos" w:cs="Aptos"/>
          <w:b w:val="0"/>
          <w:bCs w:val="0"/>
          <w:i w:val="0"/>
          <w:iCs w:val="0"/>
          <w:caps w:val="0"/>
          <w:smallCaps w:val="0"/>
          <w:noProof w:val="0"/>
          <w:color w:val="4C5A73"/>
          <w:sz w:val="24"/>
          <w:szCs w:val="24"/>
          <w:lang w:val="en-GB"/>
        </w:rPr>
        <w:t xml:space="preserve"> 114–128. </w:t>
      </w:r>
      <w:hyperlink r:id="R0bdf224dfa114cf9">
        <w:r w:rsidRPr="309E79D8" w:rsidR="5C4F4D95">
          <w:rPr>
            <w:rStyle w:val="Hyperlink"/>
            <w:b w:val="1"/>
            <w:bCs w:val="1"/>
            <w:i w:val="0"/>
            <w:iCs w:val="0"/>
            <w:caps w:val="0"/>
            <w:smallCaps w:val="0"/>
            <w:strike w:val="0"/>
            <w:dstrike w:val="0"/>
            <w:noProof w:val="0"/>
            <w:color w:val="622567"/>
            <w:u w:val="single"/>
            <w:lang w:val="en-GB"/>
          </w:rPr>
          <w:t>https://doi.org/10.1016/j.edurev.2013.01.002</w:t>
        </w:r>
      </w:hyperlink>
    </w:p>
    <w:p w:rsidR="309E79D8" w:rsidP="309E79D8" w:rsidRDefault="309E79D8" w14:paraId="5E19105D" w14:textId="36F12BC0">
      <w:pPr>
        <w:pStyle w:val="Normal"/>
        <w:shd w:val="clear" w:color="auto" w:fill="FFFFFF" w:themeFill="background1"/>
        <w:spacing w:before="0" w:beforeAutospacing="off" w:after="240" w:afterAutospacing="off"/>
        <w:jc w:val="left"/>
      </w:pPr>
      <w:r>
        <w:br/>
      </w:r>
      <w:r w:rsidRPr="309E79D8" w:rsidR="6AB69A82">
        <w:rPr>
          <w:rFonts w:ascii="Aptos" w:hAnsi="Aptos" w:eastAsia="Aptos" w:cs="Aptos"/>
          <w:b w:val="0"/>
          <w:bCs w:val="0"/>
          <w:i w:val="0"/>
          <w:iCs w:val="0"/>
          <w:caps w:val="0"/>
          <w:smallCaps w:val="0"/>
          <w:noProof w:val="0"/>
          <w:color w:val="4C5A73"/>
          <w:sz w:val="21"/>
          <w:szCs w:val="21"/>
          <w:lang w:val="en-GB"/>
        </w:rPr>
        <w:t>--</w:t>
      </w:r>
      <w:r>
        <w:br/>
      </w:r>
      <w:r w:rsidRPr="309E79D8" w:rsidR="6AB69A82">
        <w:rPr>
          <w:rFonts w:ascii="Aptos" w:hAnsi="Aptos" w:eastAsia="Aptos" w:cs="Aptos"/>
          <w:b w:val="0"/>
          <w:bCs w:val="0"/>
          <w:i w:val="0"/>
          <w:iCs w:val="0"/>
          <w:caps w:val="0"/>
          <w:smallCaps w:val="0"/>
          <w:noProof w:val="0"/>
          <w:color w:val="4C5A73"/>
          <w:sz w:val="21"/>
          <w:szCs w:val="21"/>
          <w:lang w:val="en-GB"/>
        </w:rPr>
        <w:t>PR2:</w:t>
      </w:r>
      <w:r>
        <w:br/>
      </w:r>
      <w:r>
        <w:br/>
      </w:r>
      <w:r w:rsidRPr="309E79D8" w:rsidR="32BF3E5B">
        <w:rPr>
          <w:rFonts w:ascii="Aptos" w:hAnsi="Aptos" w:eastAsia="Aptos" w:cs="Aptos"/>
          <w:b w:val="0"/>
          <w:bCs w:val="0"/>
          <w:i w:val="0"/>
          <w:iCs w:val="0"/>
          <w:caps w:val="0"/>
          <w:smallCaps w:val="0"/>
          <w:noProof w:val="0"/>
          <w:color w:val="4C5A73"/>
          <w:sz w:val="24"/>
          <w:szCs w:val="24"/>
          <w:lang w:val="en-GB"/>
        </w:rPr>
        <w:t xml:space="preserve">Aimee, your post highlights a contradiction within psychographic political advertising: the more precisely a message is tailored to an individual, the greater the possibility that their information becomes selective. Personalisation may influence which perspectives voters encounter. </w:t>
      </w:r>
    </w:p>
    <w:p w:rsidR="32BF3E5B" w:rsidP="309E79D8" w:rsidRDefault="32BF3E5B" w14:paraId="1FA85326" w14:textId="3BC4C697">
      <w:pPr>
        <w:shd w:val="clear" w:color="auto" w:fill="FFFFFF" w:themeFill="background1"/>
        <w:spacing w:before="0" w:beforeAutospacing="off" w:after="240" w:afterAutospacing="off"/>
        <w:jc w:val="left"/>
      </w:pPr>
      <w:r w:rsidRPr="309E79D8" w:rsidR="32BF3E5B">
        <w:rPr>
          <w:rFonts w:ascii="Aptos" w:hAnsi="Aptos" w:eastAsia="Aptos" w:cs="Aptos"/>
          <w:b w:val="0"/>
          <w:bCs w:val="0"/>
          <w:i w:val="0"/>
          <w:iCs w:val="0"/>
          <w:caps w:val="0"/>
          <w:smallCaps w:val="0"/>
          <w:noProof w:val="0"/>
          <w:color w:val="4C5A73"/>
          <w:sz w:val="24"/>
          <w:szCs w:val="24"/>
          <w:lang w:val="en-GB"/>
        </w:rPr>
        <w:t xml:space="preserve">A strength of your Quantity argument is how you identify that voters could receive information supporting their existing interests while being less exposed to alternative viewpoints. Grice’s (1975) principle suggests that communication should provide information appropriate to the purpose of the exchange, but political advertising creates a difficulty because an advertisement cannot communicate every aspect of a political position. The issue therefore may be whether the information selected gives voters enough context to make an informed judgement. </w:t>
      </w:r>
    </w:p>
    <w:p w:rsidR="32BF3E5B" w:rsidP="309E79D8" w:rsidRDefault="32BF3E5B" w14:paraId="68710AA9" w14:textId="6ED09C17">
      <w:pPr>
        <w:shd w:val="clear" w:color="auto" w:fill="FFFFFF" w:themeFill="background1"/>
        <w:spacing w:before="0" w:beforeAutospacing="off" w:after="240" w:afterAutospacing="off"/>
        <w:jc w:val="left"/>
      </w:pPr>
      <w:r w:rsidRPr="309E79D8" w:rsidR="32BF3E5B">
        <w:rPr>
          <w:rFonts w:ascii="Aptos" w:hAnsi="Aptos" w:eastAsia="Aptos" w:cs="Aptos"/>
          <w:b w:val="0"/>
          <w:bCs w:val="0"/>
          <w:i w:val="0"/>
          <w:iCs w:val="0"/>
          <w:caps w:val="0"/>
          <w:smallCaps w:val="0"/>
          <w:noProof w:val="0"/>
          <w:color w:val="4C5A73"/>
          <w:sz w:val="24"/>
          <w:szCs w:val="24"/>
          <w:lang w:val="en-GB"/>
        </w:rPr>
        <w:t xml:space="preserve">I also found your application of Halpern’s (1998) model useful because you connect critical-thinking skills to practical decisions within advertising agencies. Your suggestions of peer review and evaluating previous campaigns demonstrate how critical thinking could be incorporated into practice. One limitation, however, is that agencies may prioritise achieving a campaign outcome. Critical thinking could improve effectiveness without changing its purpose. Jansen and Krämer (2023) similarly highlight that users are often unaware when they receive microtargeted political advertising, reinforcing this concern. </w:t>
      </w:r>
    </w:p>
    <w:p w:rsidR="32BF3E5B" w:rsidP="309E79D8" w:rsidRDefault="32BF3E5B" w14:paraId="25AA52D2" w14:textId="4B4FB388">
      <w:pPr>
        <w:shd w:val="clear" w:color="auto" w:fill="FFFFFF" w:themeFill="background1"/>
        <w:spacing w:before="0" w:beforeAutospacing="off" w:after="240" w:afterAutospacing="off"/>
        <w:jc w:val="left"/>
      </w:pPr>
      <w:r w:rsidRPr="309E79D8" w:rsidR="32BF3E5B">
        <w:rPr>
          <w:rFonts w:ascii="Aptos" w:hAnsi="Aptos" w:eastAsia="Aptos" w:cs="Aptos"/>
          <w:b w:val="0"/>
          <w:bCs w:val="0"/>
          <w:i w:val="0"/>
          <w:iCs w:val="0"/>
          <w:caps w:val="0"/>
          <w:smallCaps w:val="0"/>
          <w:noProof w:val="0"/>
          <w:color w:val="4C5A73"/>
          <w:sz w:val="24"/>
          <w:szCs w:val="24"/>
          <w:lang w:val="en-GB"/>
        </w:rPr>
        <w:t xml:space="preserve">Your distinction between Gricean communication and critical thinking stood out to me. I agree that the two approaches address different stages of communication. Critical thinking can influence how an agency interprets information and develops its strategy, whereas Grice’s maxims help assess how the resulting message is communicated. Halpern (1998) emphasises metacognitive monitoring, but this does not necessarily ensure the audience receives a complete picture. </w:t>
      </w:r>
    </w:p>
    <w:p w:rsidR="32BF3E5B" w:rsidP="309E79D8" w:rsidRDefault="32BF3E5B" w14:paraId="6AE6911B" w14:textId="2752D095">
      <w:pPr>
        <w:shd w:val="clear" w:color="auto" w:fill="FFFFFF" w:themeFill="background1"/>
        <w:spacing w:before="0" w:beforeAutospacing="off" w:after="240" w:afterAutospacing="off"/>
        <w:jc w:val="left"/>
      </w:pPr>
      <w:r w:rsidRPr="309E79D8" w:rsidR="32BF3E5B">
        <w:rPr>
          <w:rFonts w:ascii="Aptos" w:hAnsi="Aptos" w:eastAsia="Aptos" w:cs="Aptos"/>
          <w:b w:val="0"/>
          <w:bCs w:val="0"/>
          <w:i w:val="0"/>
          <w:iCs w:val="0"/>
          <w:caps w:val="0"/>
          <w:smallCaps w:val="0"/>
          <w:noProof w:val="0"/>
          <w:color w:val="4C5A73"/>
          <w:sz w:val="24"/>
          <w:szCs w:val="24"/>
          <w:lang w:val="en-GB"/>
        </w:rPr>
        <w:t xml:space="preserve">In conclusion, I think your post makes a strong argument that effective reasoning and responsible communication should not be treated as interchangeable. Psychographic targeting may allow campaigns to communicate with greater precision, but precision does not necessarily mean voters receive balanced information. Your discussion demonstrates why evaluating both reasoning and communication is important when considering critical thinking. </w:t>
      </w:r>
    </w:p>
    <w:p w:rsidR="32BF3E5B" w:rsidP="309E79D8" w:rsidRDefault="32BF3E5B" w14:paraId="4B7FEC8D" w14:textId="23EE4CFA">
      <w:pPr>
        <w:shd w:val="clear" w:color="auto" w:fill="FFFFFF" w:themeFill="background1"/>
        <w:spacing w:before="0" w:beforeAutospacing="off" w:after="240" w:afterAutospacing="off"/>
        <w:jc w:val="left"/>
      </w:pPr>
      <w:r w:rsidRPr="309E79D8" w:rsidR="32BF3E5B">
        <w:rPr>
          <w:rFonts w:ascii="Aptos" w:hAnsi="Aptos" w:eastAsia="Aptos" w:cs="Aptos"/>
          <w:b w:val="1"/>
          <w:bCs w:val="1"/>
          <w:i w:val="0"/>
          <w:iCs w:val="0"/>
          <w:caps w:val="0"/>
          <w:smallCaps w:val="0"/>
          <w:noProof w:val="0"/>
          <w:color w:val="4C5A73"/>
          <w:sz w:val="24"/>
          <w:szCs w:val="24"/>
          <w:lang w:val="en-GB"/>
        </w:rPr>
        <w:t>REFERENCES</w:t>
      </w:r>
    </w:p>
    <w:p w:rsidR="32BF3E5B" w:rsidP="309E79D8" w:rsidRDefault="32BF3E5B" w14:paraId="2F7EF597" w14:textId="216AF1DD">
      <w:pPr>
        <w:shd w:val="clear" w:color="auto" w:fill="FFFFFF" w:themeFill="background1"/>
        <w:spacing w:before="0" w:beforeAutospacing="off" w:after="240" w:afterAutospacing="off"/>
        <w:jc w:val="left"/>
      </w:pPr>
      <w:r w:rsidRPr="309E79D8" w:rsidR="32BF3E5B">
        <w:rPr>
          <w:rFonts w:ascii="Aptos" w:hAnsi="Aptos" w:eastAsia="Aptos" w:cs="Aptos"/>
          <w:b w:val="0"/>
          <w:bCs w:val="0"/>
          <w:i w:val="0"/>
          <w:iCs w:val="0"/>
          <w:caps w:val="0"/>
          <w:smallCaps w:val="0"/>
          <w:noProof w:val="0"/>
          <w:color w:val="4C5A73"/>
          <w:sz w:val="24"/>
          <w:szCs w:val="24"/>
          <w:lang w:val="en-GB"/>
        </w:rPr>
        <w:t xml:space="preserve">Grice, H. P. (1975). Logic and conversation. In P. Cole &amp; J. L. Morgan (Eds.), </w:t>
      </w:r>
      <w:r w:rsidRPr="309E79D8" w:rsidR="32BF3E5B">
        <w:rPr>
          <w:rFonts w:ascii="Aptos" w:hAnsi="Aptos" w:eastAsia="Aptos" w:cs="Aptos"/>
          <w:b w:val="0"/>
          <w:bCs w:val="0"/>
          <w:i w:val="1"/>
          <w:iCs w:val="1"/>
          <w:caps w:val="0"/>
          <w:smallCaps w:val="0"/>
          <w:noProof w:val="0"/>
          <w:color w:val="4C5A73"/>
          <w:sz w:val="24"/>
          <w:szCs w:val="24"/>
          <w:lang w:val="en-GB"/>
        </w:rPr>
        <w:t>Syntax and            semantics: Vol. 3. Speech acts</w:t>
      </w:r>
      <w:r w:rsidRPr="309E79D8" w:rsidR="32BF3E5B">
        <w:rPr>
          <w:rFonts w:ascii="Aptos" w:hAnsi="Aptos" w:eastAsia="Aptos" w:cs="Aptos"/>
          <w:b w:val="0"/>
          <w:bCs w:val="0"/>
          <w:i w:val="0"/>
          <w:iCs w:val="0"/>
          <w:caps w:val="0"/>
          <w:smallCaps w:val="0"/>
          <w:noProof w:val="0"/>
          <w:color w:val="4C5A73"/>
          <w:sz w:val="24"/>
          <w:szCs w:val="24"/>
          <w:lang w:val="en-GB"/>
        </w:rPr>
        <w:t xml:space="preserve"> (pp. 41–58). Academic Press.</w:t>
      </w:r>
    </w:p>
    <w:p w:rsidR="32BF3E5B" w:rsidP="309E79D8" w:rsidRDefault="32BF3E5B" w14:paraId="5CA28E3B" w14:textId="14123746">
      <w:pPr>
        <w:shd w:val="clear" w:color="auto" w:fill="FFFFFF" w:themeFill="background1"/>
        <w:spacing w:before="0" w:beforeAutospacing="off" w:after="240" w:afterAutospacing="off"/>
        <w:jc w:val="left"/>
      </w:pPr>
      <w:r w:rsidRPr="309E79D8" w:rsidR="32BF3E5B">
        <w:rPr>
          <w:rFonts w:ascii="Aptos" w:hAnsi="Aptos" w:eastAsia="Aptos" w:cs="Aptos"/>
          <w:b w:val="0"/>
          <w:bCs w:val="0"/>
          <w:i w:val="0"/>
          <w:iCs w:val="0"/>
          <w:caps w:val="0"/>
          <w:smallCaps w:val="0"/>
          <w:noProof w:val="0"/>
          <w:color w:val="4C5A73"/>
          <w:sz w:val="24"/>
          <w:szCs w:val="24"/>
          <w:lang w:val="en-GB"/>
        </w:rPr>
        <w:t xml:space="preserve">Halpern, D. F. (1998). Teaching critical thinking for transfer across domains: Dispositions,            skills, structure training, and metacognitive monitoring. </w:t>
      </w:r>
      <w:r w:rsidRPr="309E79D8" w:rsidR="32BF3E5B">
        <w:rPr>
          <w:rFonts w:ascii="Aptos" w:hAnsi="Aptos" w:eastAsia="Aptos" w:cs="Aptos"/>
          <w:b w:val="0"/>
          <w:bCs w:val="0"/>
          <w:i w:val="1"/>
          <w:iCs w:val="1"/>
          <w:caps w:val="0"/>
          <w:smallCaps w:val="0"/>
          <w:noProof w:val="0"/>
          <w:color w:val="4C5A73"/>
          <w:sz w:val="24"/>
          <w:szCs w:val="24"/>
          <w:lang w:val="en-GB"/>
        </w:rPr>
        <w:t>American Psychologist, 53</w:t>
      </w:r>
      <w:r w:rsidRPr="309E79D8" w:rsidR="32BF3E5B">
        <w:rPr>
          <w:rFonts w:ascii="Aptos" w:hAnsi="Aptos" w:eastAsia="Aptos" w:cs="Aptos"/>
          <w:b w:val="0"/>
          <w:bCs w:val="0"/>
          <w:i w:val="0"/>
          <w:iCs w:val="0"/>
          <w:caps w:val="0"/>
          <w:smallCaps w:val="0"/>
          <w:noProof w:val="0"/>
          <w:color w:val="4C5A73"/>
          <w:sz w:val="24"/>
          <w:szCs w:val="24"/>
          <w:lang w:val="en-GB"/>
        </w:rPr>
        <w:t xml:space="preserve">(4), 449–    455. </w:t>
      </w:r>
      <w:hyperlink r:id="R6096de2af1a84514">
        <w:r w:rsidRPr="309E79D8" w:rsidR="32BF3E5B">
          <w:rPr>
            <w:rStyle w:val="Hyperlink"/>
            <w:b w:val="1"/>
            <w:bCs w:val="1"/>
            <w:i w:val="0"/>
            <w:iCs w:val="0"/>
            <w:caps w:val="0"/>
            <w:smallCaps w:val="0"/>
            <w:strike w:val="0"/>
            <w:dstrike w:val="0"/>
            <w:noProof w:val="0"/>
            <w:color w:val="622567"/>
            <w:u w:val="single"/>
            <w:lang w:val="en-GB"/>
          </w:rPr>
          <w:t>https://doi.org/10.1037/0003-066X.53.4.449</w:t>
        </w:r>
      </w:hyperlink>
    </w:p>
    <w:p w:rsidR="32BF3E5B" w:rsidP="309E79D8" w:rsidRDefault="32BF3E5B" w14:paraId="3B796334" w14:textId="442BF6B9">
      <w:pPr>
        <w:shd w:val="clear" w:color="auto" w:fill="FFFFFF" w:themeFill="background1"/>
        <w:spacing w:before="0" w:beforeAutospacing="off" w:after="240" w:afterAutospacing="off"/>
        <w:jc w:val="left"/>
      </w:pPr>
      <w:r w:rsidRPr="309E79D8" w:rsidR="32BF3E5B">
        <w:rPr>
          <w:rFonts w:ascii="Aptos" w:hAnsi="Aptos" w:eastAsia="Aptos" w:cs="Aptos"/>
          <w:b w:val="0"/>
          <w:bCs w:val="0"/>
          <w:i w:val="0"/>
          <w:iCs w:val="0"/>
          <w:caps w:val="0"/>
          <w:smallCaps w:val="0"/>
          <w:noProof w:val="0"/>
          <w:color w:val="4C5A73"/>
          <w:sz w:val="24"/>
          <w:szCs w:val="24"/>
          <w:lang w:val="en-GB"/>
        </w:rPr>
        <w:t xml:space="preserve">Jansen, M.-P., &amp; Krämer, N. C. (2023). Balancing perceptions of targeting: An investigation        of political microtargeting transparency through a calculus approach. </w:t>
      </w:r>
      <w:r w:rsidRPr="309E79D8" w:rsidR="32BF3E5B">
        <w:rPr>
          <w:rFonts w:ascii="Aptos" w:hAnsi="Aptos" w:eastAsia="Aptos" w:cs="Aptos"/>
          <w:b w:val="0"/>
          <w:bCs w:val="0"/>
          <w:i w:val="1"/>
          <w:iCs w:val="1"/>
          <w:caps w:val="0"/>
          <w:smallCaps w:val="0"/>
          <w:noProof w:val="0"/>
          <w:color w:val="4C5A73"/>
          <w:sz w:val="24"/>
          <w:szCs w:val="24"/>
          <w:lang w:val="en-GB"/>
        </w:rPr>
        <w:t>PLOS ONE, 18</w:t>
      </w:r>
      <w:r w:rsidRPr="309E79D8" w:rsidR="32BF3E5B">
        <w:rPr>
          <w:rFonts w:ascii="Aptos" w:hAnsi="Aptos" w:eastAsia="Aptos" w:cs="Aptos"/>
          <w:b w:val="0"/>
          <w:bCs w:val="0"/>
          <w:i w:val="0"/>
          <w:iCs w:val="0"/>
          <w:caps w:val="0"/>
          <w:smallCaps w:val="0"/>
          <w:noProof w:val="0"/>
          <w:color w:val="4C5A73"/>
          <w:sz w:val="24"/>
          <w:szCs w:val="24"/>
          <w:lang w:val="en-GB"/>
        </w:rPr>
        <w:t xml:space="preserve">(12),        e0295329. </w:t>
      </w:r>
      <w:hyperlink r:id="R706bc35231a54270">
        <w:r w:rsidRPr="309E79D8" w:rsidR="32BF3E5B">
          <w:rPr>
            <w:rStyle w:val="Hyperlink"/>
            <w:b w:val="1"/>
            <w:bCs w:val="1"/>
            <w:i w:val="0"/>
            <w:iCs w:val="0"/>
            <w:caps w:val="0"/>
            <w:smallCaps w:val="0"/>
            <w:strike w:val="0"/>
            <w:dstrike w:val="0"/>
            <w:noProof w:val="0"/>
            <w:color w:val="622567"/>
            <w:u w:val="single"/>
            <w:lang w:val="en-GB"/>
          </w:rPr>
          <w:t>https://doi.org/10.1371/journal.pone.0295329</w:t>
        </w:r>
      </w:hyperlink>
    </w:p>
    <w:p w:rsidR="309E79D8" w:rsidP="309E79D8" w:rsidRDefault="309E79D8" w14:paraId="26B23021" w14:textId="076D535A">
      <w:pPr>
        <w:pStyle w:val="Normal"/>
        <w:rPr>
          <w:rFonts w:ascii="Aptos" w:hAnsi="Aptos" w:eastAsia="Aptos" w:cs="Aptos"/>
          <w:b w:val="0"/>
          <w:bCs w:val="0"/>
          <w:i w:val="0"/>
          <w:iCs w:val="0"/>
          <w:caps w:val="0"/>
          <w:smallCaps w:val="0"/>
          <w:noProof w:val="0"/>
          <w:color w:val="4C5A73"/>
          <w:sz w:val="21"/>
          <w:szCs w:val="21"/>
          <w:lang w:val="en-GB"/>
        </w:rPr>
      </w:pPr>
    </w:p>
    <w:p w:rsidR="309E79D8" w:rsidP="309E79D8" w:rsidRDefault="309E79D8" w14:paraId="363ECC66" w14:textId="3EB204D6">
      <w:pPr>
        <w:pStyle w:val="Normal"/>
        <w:rPr>
          <w:rFonts w:ascii="Aptos" w:hAnsi="Aptos" w:eastAsia="Aptos" w:cs="Aptos"/>
          <w:b w:val="0"/>
          <w:bCs w:val="0"/>
          <w:i w:val="0"/>
          <w:iCs w:val="0"/>
          <w:caps w:val="0"/>
          <w:smallCaps w:val="0"/>
          <w:noProof w:val="0"/>
          <w:color w:val="4C5A73"/>
          <w:sz w:val="21"/>
          <w:szCs w:val="21"/>
          <w:lang w:val="en-GB"/>
        </w:rPr>
      </w:pPr>
    </w:p>
    <w:sectPr w:rsidR="00187FC9">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E8D2AB"/>
    <w:rsid w:val="00187FC9"/>
    <w:rsid w:val="005F0DB8"/>
    <w:rsid w:val="08E8D2AB"/>
    <w:rsid w:val="257657EA"/>
    <w:rsid w:val="309E79D8"/>
    <w:rsid w:val="32BF3E5B"/>
    <w:rsid w:val="5C4F4D95"/>
    <w:rsid w:val="63D15E2A"/>
    <w:rsid w:val="697C1B8F"/>
    <w:rsid w:val="6AB69A82"/>
    <w:rsid w:val="6C13D117"/>
    <w:rsid w:val="6EE6D3D7"/>
    <w:rsid w:val="733C44A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9143A"/>
  <w15:chartTrackingRefBased/>
  <w15:docId w15:val="{B5180FE9-93CA-4FE6-9838-3CB723883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09E79D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3102/0034654314551063" TargetMode="External" Id="R20c5a64a702749a8" /><Relationship Type="http://schemas.openxmlformats.org/officeDocument/2006/relationships/hyperlink" Target="https://doi.org/10.1016/j.edurev.2013.01.002" TargetMode="External" Id="R0bdf224dfa114cf9" /><Relationship Type="http://schemas.openxmlformats.org/officeDocument/2006/relationships/hyperlink" Target="https://doi.org/10.1037/0003-066X.53.4.449" TargetMode="External" Id="R6096de2af1a84514" /><Relationship Type="http://schemas.openxmlformats.org/officeDocument/2006/relationships/hyperlink" Target="https://doi.org/10.1371/journal.pone.0295329" TargetMode="External" Id="R706bc35231a5427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Mark Ashton-Smith</dc:creator>
  <keywords/>
  <dc:description/>
  <lastModifiedBy>Mark Ashton-Smith</lastModifiedBy>
  <revision>3</revision>
  <dcterms:created xsi:type="dcterms:W3CDTF">2026-08-28T11:00:00.0000000Z</dcterms:created>
  <dcterms:modified xsi:type="dcterms:W3CDTF">2026-08-28T11:03:44.6710506Z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762d7e7-4474-4a67-9ef6-3d4dc52b0ea7_Enabled">
    <vt:lpwstr>true</vt:lpwstr>
  </property>
  <property fmtid="{D5CDD505-2E9C-101B-9397-08002B2CF9AE}" pid="3" name="MSIP_Label_9762d7e7-4474-4a67-9ef6-3d4dc52b0ea7_SetDate">
    <vt:lpwstr>2026-08-28T11:00:22Z</vt:lpwstr>
  </property>
  <property fmtid="{D5CDD505-2E9C-101B-9397-08002B2CF9AE}" pid="4" name="MSIP_Label_9762d7e7-4474-4a67-9ef6-3d4dc52b0ea7_Method">
    <vt:lpwstr>Privileged</vt:lpwstr>
  </property>
  <property fmtid="{D5CDD505-2E9C-101B-9397-08002B2CF9AE}" pid="5" name="MSIP_Label_9762d7e7-4474-4a67-9ef6-3d4dc52b0ea7_Name">
    <vt:lpwstr>Internal</vt:lpwstr>
  </property>
  <property fmtid="{D5CDD505-2E9C-101B-9397-08002B2CF9AE}" pid="6" name="MSIP_Label_9762d7e7-4474-4a67-9ef6-3d4dc52b0ea7_SiteId">
    <vt:lpwstr>057daf85-b1d5-44cd-ab7b-0a4ce1b29eae</vt:lpwstr>
  </property>
  <property fmtid="{D5CDD505-2E9C-101B-9397-08002B2CF9AE}" pid="7" name="MSIP_Label_9762d7e7-4474-4a67-9ef6-3d4dc52b0ea7_ActionId">
    <vt:lpwstr>81454c70-bbc6-4d4d-be4b-674972372a7c</vt:lpwstr>
  </property>
  <property fmtid="{D5CDD505-2E9C-101B-9397-08002B2CF9AE}" pid="8" name="MSIP_Label_9762d7e7-4474-4a67-9ef6-3d4dc52b0ea7_ContentBits">
    <vt:lpwstr>0</vt:lpwstr>
  </property>
  <property fmtid="{D5CDD505-2E9C-101B-9397-08002B2CF9AE}" pid="9" name="MSIP_Label_9762d7e7-4474-4a67-9ef6-3d4dc52b0ea7_Tag">
    <vt:lpwstr>10, 0, 1, 2</vt:lpwstr>
  </property>
</Properties>
</file>