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67BFEC9" w:rsidP="067BFEC9" w:rsidRDefault="067BFEC9" w14:paraId="58891E2A" w14:textId="5C57A683">
      <w:pPr>
        <w:shd w:val="clear" w:color="auto" w:fill="FFFFFF" w:themeFill="background1"/>
        <w:spacing w:before="0" w:beforeAutospacing="off" w:after="240" w:afterAutospacing="off"/>
        <w:jc w:val="left"/>
      </w:pPr>
      <w:r>
        <w:br/>
      </w:r>
      <w:r w:rsidR="750EB9F9">
        <w:rPr/>
        <w:t>Emily Forst</w:t>
      </w:r>
      <w:r>
        <w:br/>
      </w:r>
      <w:r>
        <w:br/>
      </w:r>
      <w:r w:rsidR="57F3F313">
        <w:rPr/>
        <w:t>Initial Post:</w:t>
      </w:r>
      <w:r>
        <w:br/>
      </w:r>
      <w:r>
        <w:br/>
      </w:r>
    </w:p>
    <w:p w:rsidR="79BA95F7" w:rsidP="067BFEC9" w:rsidRDefault="79BA95F7" w14:paraId="19C45FF2" w14:textId="6880942C">
      <w:pPr>
        <w:shd w:val="clear" w:color="auto" w:fill="FFFFFF" w:themeFill="background1"/>
        <w:spacing w:before="0" w:beforeAutospacing="off" w:after="240" w:afterAutospacing="off"/>
        <w:jc w:val="left"/>
      </w:pPr>
      <w:r w:rsidRPr="067BFEC9" w:rsidR="79BA95F7">
        <w:rPr>
          <w:rFonts w:ascii="Aptos" w:hAnsi="Aptos" w:eastAsia="Aptos" w:cs="Aptos"/>
          <w:b w:val="0"/>
          <w:bCs w:val="0"/>
          <w:i w:val="0"/>
          <w:iCs w:val="0"/>
          <w:caps w:val="0"/>
          <w:smallCaps w:val="0"/>
          <w:noProof w:val="0"/>
          <w:color w:val="4C5A73"/>
          <w:sz w:val="24"/>
          <w:szCs w:val="24"/>
          <w:lang w:val="en-GB"/>
        </w:rPr>
        <w:t xml:space="preserve">Critical thinking involves using cognitive skills to achieve favourable outcomes through purposeful, analytical processes such as problem-solving, inferring, and decision-making; it requires intentional effort and conscious control, relying on evidence and reasoning to minimise bias (Halpern &amp; Dunn, 2023, p. 5). Grice (1975) argued that the maxims of quantity, quality, relation, and manner govern cooperative communication. </w:t>
      </w:r>
    </w:p>
    <w:p w:rsidR="79BA95F7" w:rsidP="067BFEC9" w:rsidRDefault="79BA95F7" w14:paraId="13017F15" w14:textId="298DDA02">
      <w:pPr>
        <w:shd w:val="clear" w:color="auto" w:fill="FFFFFF" w:themeFill="background1"/>
        <w:spacing w:before="0" w:beforeAutospacing="off" w:after="240" w:afterAutospacing="off"/>
        <w:jc w:val="left"/>
      </w:pPr>
      <w:r w:rsidRPr="067BFEC9" w:rsidR="79BA95F7">
        <w:rPr>
          <w:rFonts w:ascii="Aptos" w:hAnsi="Aptos" w:eastAsia="Aptos" w:cs="Aptos"/>
          <w:b w:val="0"/>
          <w:bCs w:val="0"/>
          <w:i w:val="0"/>
          <w:iCs w:val="0"/>
          <w:caps w:val="0"/>
          <w:smallCaps w:val="0"/>
          <w:noProof w:val="0"/>
          <w:color w:val="4C5A73"/>
          <w:sz w:val="24"/>
          <w:szCs w:val="24"/>
          <w:lang w:val="en-GB"/>
        </w:rPr>
        <w:t>The aimClear (2015) article, "Psychographic Targeting for Political Advertising Agencies", may flout the maxim of quantity by selectively presenting information to targeted groups, such as parents’ associations and student organisations. The use of “Lookalike Audiences” to reach supporters of a candidate’s tax policies illustrates a communication strategy focused on specific issues rather than on providing comprehensive voter information. Although the maxim of relation, emphasising relevance, is not clearly violated with messages relevant to college students, the approach exploits relevance for persuasive purposes. There is insufficient evidence to claim a violation of the maxim of quality, as the article does not promote false information. However, targeting visitors to an education page solely with a candidate’s education plan may selectively omit competing policies. The use of emotive phrases such as “stalk targeting” and "#FOMO" prioritises persuasive framing over neutrality. However, this does not necessarily violate the maxim of manner, although it may create tension with its emphasis on clear and orderly communication.</w:t>
      </w:r>
    </w:p>
    <w:p w:rsidR="79BA95F7" w:rsidP="067BFEC9" w:rsidRDefault="79BA95F7" w14:paraId="1BCC1AC6" w14:textId="3C7EEFDB">
      <w:pPr>
        <w:shd w:val="clear" w:color="auto" w:fill="FFFFFF" w:themeFill="background1"/>
        <w:spacing w:before="0" w:beforeAutospacing="off" w:after="240" w:afterAutospacing="off"/>
        <w:jc w:val="left"/>
      </w:pPr>
      <w:r w:rsidRPr="067BFEC9" w:rsidR="79BA95F7">
        <w:rPr>
          <w:rFonts w:ascii="Aptos" w:hAnsi="Aptos" w:eastAsia="Aptos" w:cs="Aptos"/>
          <w:b w:val="0"/>
          <w:bCs w:val="0"/>
          <w:i w:val="0"/>
          <w:iCs w:val="0"/>
          <w:caps w:val="0"/>
          <w:smallCaps w:val="0"/>
          <w:noProof w:val="0"/>
          <w:color w:val="4C5A73"/>
          <w:sz w:val="24"/>
          <w:szCs w:val="24"/>
          <w:lang w:val="en-GB"/>
        </w:rPr>
        <w:t>Concerns regarding evidence and bias underscore the significance of critical thinking. Halpern (1998) identifies skills, attitudes, structured training, and self-monitoring as essential components of the framework. Political agencies may apply these principles by systematically testing their assumptions with empirical evidence, thereby improving the accuracy of their targeting and reducing bias. For instance, rather than assuming that targeting parents with education-related content will generate political support, agencies could empirically test its effectiveness in driving engagement. By prioritising critical thinking, agencies can make evidence-based decisions, reduce confirmation bias, and improve campaign strategies by assessing targeting assumptions, identifying receptive audiences, and analysing supporting data.</w:t>
      </w:r>
    </w:p>
    <w:p w:rsidR="79BA95F7" w:rsidP="067BFEC9" w:rsidRDefault="79BA95F7" w14:paraId="48533BCC" w14:textId="1D9257EB">
      <w:pPr>
        <w:shd w:val="clear" w:color="auto" w:fill="FFFFFF" w:themeFill="background1"/>
        <w:spacing w:before="0" w:beforeAutospacing="off" w:after="240" w:afterAutospacing="off"/>
        <w:jc w:val="left"/>
      </w:pPr>
      <w:r w:rsidRPr="067BFEC9" w:rsidR="79BA95F7">
        <w:rPr>
          <w:rFonts w:ascii="Aptos" w:hAnsi="Aptos" w:eastAsia="Aptos" w:cs="Aptos"/>
          <w:b w:val="0"/>
          <w:bCs w:val="0"/>
          <w:i w:val="0"/>
          <w:iCs w:val="0"/>
          <w:caps w:val="0"/>
          <w:smallCaps w:val="0"/>
          <w:noProof w:val="0"/>
          <w:color w:val="4C5A73"/>
          <w:sz w:val="24"/>
          <w:szCs w:val="24"/>
          <w:lang w:val="en-GB"/>
        </w:rPr>
        <w:t>The effectiveness of these skills depends on the learnability of critical thinking. Dumitru and Halpern (2023) found evidence that critical thinking can be taught through explicit instruction, particularly when instruction includes strategies for skill transfer. Additionally, Butler (2012) established that higher critical-thinking scores were associated with fewer negative real-world outcomes, supporting the relevance of critical thinking beyond academic settings. Political agencies can further improve these skills through specialised training, systematic campaign data analysis, and reflective strategic evaluation.</w:t>
      </w:r>
    </w:p>
    <w:p w:rsidR="79BA95F7" w:rsidP="067BFEC9" w:rsidRDefault="79BA95F7" w14:paraId="1418D7F8" w14:textId="2D44816D">
      <w:pPr>
        <w:shd w:val="clear" w:color="auto" w:fill="FFFFFF" w:themeFill="background1"/>
        <w:spacing w:before="0" w:beforeAutospacing="off" w:after="240" w:afterAutospacing="off"/>
        <w:jc w:val="left"/>
      </w:pPr>
      <w:r w:rsidRPr="067BFEC9" w:rsidR="79BA95F7">
        <w:rPr>
          <w:rFonts w:ascii="Aptos" w:hAnsi="Aptos" w:eastAsia="Aptos" w:cs="Aptos"/>
          <w:b w:val="0"/>
          <w:bCs w:val="0"/>
          <w:i w:val="0"/>
          <w:iCs w:val="0"/>
          <w:caps w:val="0"/>
          <w:smallCaps w:val="0"/>
          <w:noProof w:val="0"/>
          <w:color w:val="4C5A73"/>
          <w:sz w:val="24"/>
          <w:szCs w:val="24"/>
          <w:lang w:val="en-GB"/>
        </w:rPr>
        <w:t>The application of critical thinking also returns to the importance of communication. Gricean communication principles offer a useful framework for analysing political communication, particularly where the maxims of quantity and relevance are manipulated. Nahi (2026) highlighted this pattern in political discourse, where quantity and relevance are often disregarded. Halpern's (1998) framework assists agencies in evaluating decision-making through empirical evidence, emphasising effective reasoning and high-quality communication in persuasive campaigns. While political advertising emphasises persuasion over cooperative discourse, a focus on strong reasoning helps agencies distinguish genuine debates from misleading rhetoric, ultimately improving informed political judgment.</w:t>
      </w:r>
    </w:p>
    <w:p w:rsidR="79BA95F7" w:rsidP="067BFEC9" w:rsidRDefault="79BA95F7" w14:paraId="70AF9B97" w14:textId="13E63999">
      <w:pPr>
        <w:shd w:val="clear" w:color="auto" w:fill="FFFFFF" w:themeFill="background1"/>
        <w:spacing w:before="0" w:beforeAutospacing="off" w:after="240" w:afterAutospacing="off"/>
        <w:jc w:val="left"/>
      </w:pPr>
      <w:r w:rsidRPr="067BFEC9" w:rsidR="79BA95F7">
        <w:rPr>
          <w:rFonts w:ascii="Aptos" w:hAnsi="Aptos" w:eastAsia="Aptos" w:cs="Aptos"/>
          <w:b w:val="0"/>
          <w:bCs w:val="0"/>
          <w:i w:val="0"/>
          <w:iCs w:val="0"/>
          <w:caps w:val="0"/>
          <w:smallCaps w:val="0"/>
          <w:noProof w:val="0"/>
          <w:color w:val="4C5A73"/>
          <w:sz w:val="24"/>
          <w:szCs w:val="24"/>
          <w:lang w:val="en-GB"/>
        </w:rPr>
        <w:t>In conclusion, psychographic targeting in political advertising utilises strategic information to engage specific audiences. Halpern’s critical thinking framework supports evidence-based reasoning and bias reduction, while Grice’s principles provide a supplementary framework for evaluating communication. Although critical thinking can significantly enhance campaign effectiveness, it requires continued practice and does not guarantee cooperative communication.</w:t>
      </w:r>
    </w:p>
    <w:p w:rsidR="067BFEC9" w:rsidP="067BFEC9" w:rsidRDefault="067BFEC9" w14:paraId="5A9507AC" w14:textId="154A1C79">
      <w:pPr>
        <w:shd w:val="clear" w:color="auto" w:fill="FFFFFF" w:themeFill="background1"/>
        <w:spacing w:before="0" w:beforeAutospacing="off" w:after="240" w:afterAutospacing="off"/>
        <w:jc w:val="left"/>
      </w:pPr>
    </w:p>
    <w:p w:rsidR="067BFEC9" w:rsidP="067BFEC9" w:rsidRDefault="067BFEC9" w14:paraId="6C68CA32" w14:textId="74A2B190">
      <w:pPr>
        <w:shd w:val="clear" w:color="auto" w:fill="FFFFFF" w:themeFill="background1"/>
        <w:spacing w:before="0" w:beforeAutospacing="off" w:after="240" w:afterAutospacing="off"/>
        <w:jc w:val="left"/>
      </w:pPr>
    </w:p>
    <w:p w:rsidR="79BA95F7" w:rsidP="067BFEC9" w:rsidRDefault="79BA95F7" w14:paraId="238CC48C" w14:textId="32BA4F66">
      <w:pPr>
        <w:shd w:val="clear" w:color="auto" w:fill="FFFFFF" w:themeFill="background1"/>
        <w:spacing w:before="0" w:beforeAutospacing="off" w:after="240" w:afterAutospacing="off"/>
        <w:jc w:val="left"/>
      </w:pPr>
      <w:r w:rsidRPr="067BFEC9" w:rsidR="79BA95F7">
        <w:rPr>
          <w:rFonts w:ascii="Aptos" w:hAnsi="Aptos" w:eastAsia="Aptos" w:cs="Aptos"/>
          <w:b w:val="1"/>
          <w:bCs w:val="1"/>
          <w:i w:val="0"/>
          <w:iCs w:val="0"/>
          <w:caps w:val="0"/>
          <w:smallCaps w:val="0"/>
          <w:noProof w:val="0"/>
          <w:color w:val="4C5A73"/>
          <w:sz w:val="24"/>
          <w:szCs w:val="24"/>
          <w:lang w:val="en-GB"/>
        </w:rPr>
        <w:t>References</w:t>
      </w:r>
    </w:p>
    <w:p w:rsidR="79BA95F7" w:rsidP="067BFEC9" w:rsidRDefault="79BA95F7" w14:paraId="66D21A22" w14:textId="7900D12E">
      <w:pPr>
        <w:shd w:val="clear" w:color="auto" w:fill="FFFFFF" w:themeFill="background1"/>
        <w:spacing w:before="0" w:beforeAutospacing="off" w:after="240" w:afterAutospacing="off"/>
        <w:jc w:val="left"/>
      </w:pPr>
      <w:r w:rsidRPr="067BFEC9" w:rsidR="79BA95F7">
        <w:rPr>
          <w:rFonts w:ascii="Aptos" w:hAnsi="Aptos" w:eastAsia="Aptos" w:cs="Aptos"/>
          <w:b w:val="0"/>
          <w:bCs w:val="0"/>
          <w:i w:val="0"/>
          <w:iCs w:val="0"/>
          <w:caps w:val="0"/>
          <w:smallCaps w:val="0"/>
          <w:noProof w:val="0"/>
          <w:color w:val="4C5A73"/>
          <w:sz w:val="24"/>
          <w:szCs w:val="24"/>
          <w:lang w:val="en-GB"/>
        </w:rPr>
        <w:t xml:space="preserve">aimClear. (2015). </w:t>
      </w:r>
      <w:r w:rsidRPr="067BFEC9" w:rsidR="79BA95F7">
        <w:rPr>
          <w:rFonts w:ascii="Aptos" w:hAnsi="Aptos" w:eastAsia="Aptos" w:cs="Aptos"/>
          <w:b w:val="0"/>
          <w:bCs w:val="0"/>
          <w:i w:val="1"/>
          <w:iCs w:val="1"/>
          <w:caps w:val="0"/>
          <w:smallCaps w:val="0"/>
          <w:noProof w:val="0"/>
          <w:color w:val="4C5A73"/>
          <w:sz w:val="24"/>
          <w:szCs w:val="24"/>
          <w:lang w:val="en-GB"/>
        </w:rPr>
        <w:t>aimClear's psychographic targeting for political advertising agencies' WINS</w:t>
      </w:r>
      <w:r w:rsidRPr="067BFEC9" w:rsidR="79BA95F7">
        <w:rPr>
          <w:rFonts w:ascii="Aptos" w:hAnsi="Aptos" w:eastAsia="Aptos" w:cs="Aptos"/>
          <w:b w:val="0"/>
          <w:bCs w:val="0"/>
          <w:i w:val="0"/>
          <w:iCs w:val="0"/>
          <w:caps w:val="0"/>
          <w:smallCaps w:val="0"/>
          <w:noProof w:val="0"/>
          <w:color w:val="4C5A73"/>
          <w:sz w:val="24"/>
          <w:szCs w:val="24"/>
          <w:lang w:val="en-GB"/>
        </w:rPr>
        <w:t xml:space="preserve">. Search Engine Land. </w:t>
      </w:r>
      <w:hyperlink r:id="Rcc682d83060c4d13">
        <w:r w:rsidRPr="067BFEC9" w:rsidR="79BA95F7">
          <w:rPr>
            <w:rStyle w:val="Hyperlink"/>
            <w:b w:val="1"/>
            <w:bCs w:val="1"/>
            <w:i w:val="0"/>
            <w:iCs w:val="0"/>
            <w:caps w:val="0"/>
            <w:smallCaps w:val="0"/>
            <w:strike w:val="0"/>
            <w:dstrike w:val="0"/>
            <w:noProof w:val="0"/>
            <w:color w:val="622567"/>
            <w:u w:val="single"/>
            <w:lang w:val="en-GB"/>
          </w:rPr>
          <w:t>https://searchengineland.com/aimclears-psychographic-targeting-for-political-advertising-agencies-wins-237290</w:t>
        </w:r>
      </w:hyperlink>
    </w:p>
    <w:p w:rsidR="79BA95F7" w:rsidP="067BFEC9" w:rsidRDefault="79BA95F7" w14:paraId="7C3CE3F3" w14:textId="23886E57">
      <w:pPr>
        <w:shd w:val="clear" w:color="auto" w:fill="FFFFFF" w:themeFill="background1"/>
        <w:spacing w:before="0" w:beforeAutospacing="off" w:after="240" w:afterAutospacing="off"/>
        <w:jc w:val="left"/>
      </w:pPr>
      <w:r w:rsidRPr="067BFEC9" w:rsidR="79BA95F7">
        <w:rPr>
          <w:rFonts w:ascii="Aptos" w:hAnsi="Aptos" w:eastAsia="Aptos" w:cs="Aptos"/>
          <w:b w:val="0"/>
          <w:bCs w:val="0"/>
          <w:i w:val="0"/>
          <w:iCs w:val="0"/>
          <w:caps w:val="0"/>
          <w:smallCaps w:val="0"/>
          <w:noProof w:val="0"/>
          <w:color w:val="4C5A73"/>
          <w:sz w:val="24"/>
          <w:szCs w:val="24"/>
          <w:lang w:val="en-GB"/>
        </w:rPr>
        <w:t>Butler, H. A. (2012). Halpern Critical Thinking Assessment Predicts Real-World Outcomes of Critical Thinking.</w:t>
      </w:r>
      <w:r w:rsidRPr="067BFEC9" w:rsidR="79BA95F7">
        <w:rPr>
          <w:rFonts w:ascii="Aptos" w:hAnsi="Aptos" w:eastAsia="Aptos" w:cs="Aptos"/>
          <w:b w:val="0"/>
          <w:bCs w:val="0"/>
          <w:i w:val="1"/>
          <w:iCs w:val="1"/>
          <w:caps w:val="0"/>
          <w:smallCaps w:val="0"/>
          <w:noProof w:val="0"/>
          <w:color w:val="4C5A73"/>
          <w:sz w:val="24"/>
          <w:szCs w:val="24"/>
          <w:lang w:val="en-GB"/>
        </w:rPr>
        <w:t xml:space="preserve"> Applied Cognitive Psychology, 26</w:t>
      </w:r>
      <w:r w:rsidRPr="067BFEC9" w:rsidR="79BA95F7">
        <w:rPr>
          <w:rFonts w:ascii="Aptos" w:hAnsi="Aptos" w:eastAsia="Aptos" w:cs="Aptos"/>
          <w:b w:val="0"/>
          <w:bCs w:val="0"/>
          <w:i w:val="0"/>
          <w:iCs w:val="0"/>
          <w:caps w:val="0"/>
          <w:smallCaps w:val="0"/>
          <w:noProof w:val="0"/>
          <w:color w:val="4C5A73"/>
          <w:sz w:val="24"/>
          <w:szCs w:val="24"/>
          <w:lang w:val="en-GB"/>
        </w:rPr>
        <w:t xml:space="preserve">(5), 721–729. </w:t>
      </w:r>
      <w:hyperlink r:id="Rb194b546a9bf44f2">
        <w:r w:rsidRPr="067BFEC9" w:rsidR="79BA95F7">
          <w:rPr>
            <w:rStyle w:val="Hyperlink"/>
            <w:b w:val="0"/>
            <w:bCs w:val="0"/>
            <w:i w:val="0"/>
            <w:iCs w:val="0"/>
            <w:caps w:val="0"/>
            <w:smallCaps w:val="0"/>
            <w:noProof w:val="0"/>
            <w:lang w:val="en-GB"/>
          </w:rPr>
          <w:t>https://doi.org/10.1002/acp.2851</w:t>
        </w:r>
      </w:hyperlink>
    </w:p>
    <w:p w:rsidR="79BA95F7" w:rsidP="067BFEC9" w:rsidRDefault="79BA95F7" w14:paraId="51CD361C" w14:textId="2B9C2C15">
      <w:pPr>
        <w:shd w:val="clear" w:color="auto" w:fill="FFFFFF" w:themeFill="background1"/>
        <w:spacing w:before="0" w:beforeAutospacing="off" w:after="240" w:afterAutospacing="off"/>
        <w:jc w:val="left"/>
      </w:pPr>
      <w:r w:rsidRPr="067BFEC9" w:rsidR="79BA95F7">
        <w:rPr>
          <w:rFonts w:ascii="Aptos" w:hAnsi="Aptos" w:eastAsia="Aptos" w:cs="Aptos"/>
          <w:b w:val="0"/>
          <w:bCs w:val="0"/>
          <w:i w:val="0"/>
          <w:iCs w:val="0"/>
          <w:caps w:val="0"/>
          <w:smallCaps w:val="0"/>
          <w:noProof w:val="0"/>
          <w:color w:val="4C5A73"/>
          <w:sz w:val="24"/>
          <w:szCs w:val="24"/>
          <w:lang w:val="en-GB"/>
        </w:rPr>
        <w:t xml:space="preserve">Dumitru, D., &amp; Halpern, D. F. (2023). Critical Thinking: Creating Job-Proof Skills for the Future of Work. </w:t>
      </w:r>
      <w:r w:rsidRPr="067BFEC9" w:rsidR="79BA95F7">
        <w:rPr>
          <w:rFonts w:ascii="Aptos" w:hAnsi="Aptos" w:eastAsia="Aptos" w:cs="Aptos"/>
          <w:b w:val="0"/>
          <w:bCs w:val="0"/>
          <w:i w:val="1"/>
          <w:iCs w:val="1"/>
          <w:caps w:val="0"/>
          <w:smallCaps w:val="0"/>
          <w:noProof w:val="0"/>
          <w:color w:val="4C5A73"/>
          <w:sz w:val="24"/>
          <w:szCs w:val="24"/>
          <w:lang w:val="en-GB"/>
        </w:rPr>
        <w:t>Journal of Intelligence, 11</w:t>
      </w:r>
      <w:r w:rsidRPr="067BFEC9" w:rsidR="79BA95F7">
        <w:rPr>
          <w:rFonts w:ascii="Aptos" w:hAnsi="Aptos" w:eastAsia="Aptos" w:cs="Aptos"/>
          <w:b w:val="0"/>
          <w:bCs w:val="0"/>
          <w:i w:val="0"/>
          <w:iCs w:val="0"/>
          <w:caps w:val="0"/>
          <w:smallCaps w:val="0"/>
          <w:noProof w:val="0"/>
          <w:color w:val="4C5A73"/>
          <w:sz w:val="24"/>
          <w:szCs w:val="24"/>
          <w:lang w:val="en-GB"/>
        </w:rPr>
        <w:t xml:space="preserve">(10), 194. </w:t>
      </w:r>
      <w:hyperlink r:id="R83355479adae4829">
        <w:r w:rsidRPr="067BFEC9" w:rsidR="79BA95F7">
          <w:rPr>
            <w:rStyle w:val="Hyperlink"/>
            <w:b w:val="0"/>
            <w:bCs w:val="0"/>
            <w:i w:val="0"/>
            <w:iCs w:val="0"/>
            <w:caps w:val="0"/>
            <w:smallCaps w:val="0"/>
            <w:noProof w:val="0"/>
            <w:lang w:val="en-GB"/>
          </w:rPr>
          <w:t>https://doi.org/10.3390/jintelligence11100194</w:t>
        </w:r>
      </w:hyperlink>
    </w:p>
    <w:p w:rsidR="79BA95F7" w:rsidP="067BFEC9" w:rsidRDefault="79BA95F7" w14:paraId="7B8BCE29" w14:textId="67CD7E73">
      <w:pPr>
        <w:shd w:val="clear" w:color="auto" w:fill="FFFFFF" w:themeFill="background1"/>
        <w:spacing w:before="0" w:beforeAutospacing="off" w:after="240" w:afterAutospacing="off"/>
        <w:jc w:val="left"/>
      </w:pPr>
      <w:r w:rsidRPr="067BFEC9" w:rsidR="79BA95F7">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067BFEC9" w:rsidR="79BA95F7">
        <w:rPr>
          <w:rFonts w:ascii="Aptos" w:hAnsi="Aptos" w:eastAsia="Aptos" w:cs="Aptos"/>
          <w:b w:val="0"/>
          <w:bCs w:val="0"/>
          <w:i w:val="1"/>
          <w:iCs w:val="1"/>
          <w:caps w:val="0"/>
          <w:smallCaps w:val="0"/>
          <w:noProof w:val="0"/>
          <w:color w:val="4C5A73"/>
          <w:sz w:val="24"/>
          <w:szCs w:val="24"/>
          <w:lang w:val="en-GB"/>
        </w:rPr>
        <w:t xml:space="preserve">Syntax and semantics </w:t>
      </w:r>
      <w:r w:rsidRPr="067BFEC9" w:rsidR="79BA95F7">
        <w:rPr>
          <w:rFonts w:ascii="Aptos" w:hAnsi="Aptos" w:eastAsia="Aptos" w:cs="Aptos"/>
          <w:b w:val="0"/>
          <w:bCs w:val="0"/>
          <w:i w:val="0"/>
          <w:iCs w:val="0"/>
          <w:caps w:val="0"/>
          <w:smallCaps w:val="0"/>
          <w:noProof w:val="0"/>
          <w:color w:val="4C5A73"/>
          <w:sz w:val="24"/>
          <w:szCs w:val="24"/>
          <w:lang w:val="en-GB"/>
        </w:rPr>
        <w:t>(Vol. 3, pp. 41–58). Academic Press.</w:t>
      </w:r>
    </w:p>
    <w:p w:rsidR="79BA95F7" w:rsidP="067BFEC9" w:rsidRDefault="79BA95F7" w14:paraId="11C320DF" w14:textId="711EBB37">
      <w:pPr>
        <w:shd w:val="clear" w:color="auto" w:fill="FFFFFF" w:themeFill="background1"/>
        <w:spacing w:before="0" w:beforeAutospacing="off" w:after="240" w:afterAutospacing="off"/>
        <w:jc w:val="left"/>
      </w:pPr>
      <w:r w:rsidRPr="067BFEC9" w:rsidR="79BA95F7">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 skills, structure training, and metacognitive monitoring. </w:t>
      </w:r>
      <w:r w:rsidRPr="067BFEC9" w:rsidR="79BA95F7">
        <w:rPr>
          <w:rFonts w:ascii="Aptos" w:hAnsi="Aptos" w:eastAsia="Aptos" w:cs="Aptos"/>
          <w:b w:val="0"/>
          <w:bCs w:val="0"/>
          <w:i w:val="1"/>
          <w:iCs w:val="1"/>
          <w:caps w:val="0"/>
          <w:smallCaps w:val="0"/>
          <w:noProof w:val="0"/>
          <w:color w:val="4C5A73"/>
          <w:sz w:val="24"/>
          <w:szCs w:val="24"/>
          <w:lang w:val="en-GB"/>
        </w:rPr>
        <w:t>The American Psychologist, 53</w:t>
      </w:r>
      <w:r w:rsidRPr="067BFEC9" w:rsidR="79BA95F7">
        <w:rPr>
          <w:rFonts w:ascii="Aptos" w:hAnsi="Aptos" w:eastAsia="Aptos" w:cs="Aptos"/>
          <w:b w:val="0"/>
          <w:bCs w:val="0"/>
          <w:i w:val="0"/>
          <w:iCs w:val="0"/>
          <w:caps w:val="0"/>
          <w:smallCaps w:val="0"/>
          <w:noProof w:val="0"/>
          <w:color w:val="4C5A73"/>
          <w:sz w:val="24"/>
          <w:szCs w:val="24"/>
          <w:lang w:val="en-GB"/>
        </w:rPr>
        <w:t xml:space="preserve">(4), 449–455. </w:t>
      </w:r>
      <w:hyperlink r:id="R2106e5da645f4a41">
        <w:r w:rsidRPr="067BFEC9" w:rsidR="79BA95F7">
          <w:rPr>
            <w:rStyle w:val="Hyperlink"/>
            <w:b w:val="0"/>
            <w:bCs w:val="0"/>
            <w:i w:val="0"/>
            <w:iCs w:val="0"/>
            <w:caps w:val="0"/>
            <w:smallCaps w:val="0"/>
            <w:noProof w:val="0"/>
            <w:lang w:val="en-GB"/>
          </w:rPr>
          <w:t>https://doi.org/10.1037/0003-066X.53.4.449</w:t>
        </w:r>
      </w:hyperlink>
    </w:p>
    <w:p w:rsidR="79BA95F7" w:rsidP="067BFEC9" w:rsidRDefault="79BA95F7" w14:paraId="65FF7AC7" w14:textId="2341DAE6">
      <w:pPr>
        <w:shd w:val="clear" w:color="auto" w:fill="FFFFFF" w:themeFill="background1"/>
        <w:spacing w:before="0" w:beforeAutospacing="off" w:after="240" w:afterAutospacing="off"/>
        <w:jc w:val="left"/>
      </w:pPr>
      <w:r w:rsidRPr="067BFEC9" w:rsidR="79BA95F7">
        <w:rPr>
          <w:rFonts w:ascii="Aptos" w:hAnsi="Aptos" w:eastAsia="Aptos" w:cs="Aptos"/>
          <w:b w:val="0"/>
          <w:bCs w:val="0"/>
          <w:i w:val="0"/>
          <w:iCs w:val="0"/>
          <w:caps w:val="0"/>
          <w:smallCaps w:val="0"/>
          <w:noProof w:val="0"/>
          <w:color w:val="4C5A73"/>
          <w:sz w:val="24"/>
          <w:szCs w:val="24"/>
          <w:lang w:val="en-GB"/>
        </w:rPr>
        <w:t xml:space="preserve">Halpern, D. F., &amp; Dunn, D.S. (2023). </w:t>
      </w:r>
      <w:r w:rsidRPr="067BFEC9" w:rsidR="79BA95F7">
        <w:rPr>
          <w:rFonts w:ascii="Aptos" w:hAnsi="Aptos" w:eastAsia="Aptos" w:cs="Aptos"/>
          <w:b w:val="0"/>
          <w:bCs w:val="0"/>
          <w:i w:val="1"/>
          <w:iCs w:val="1"/>
          <w:caps w:val="0"/>
          <w:smallCaps w:val="0"/>
          <w:noProof w:val="0"/>
          <w:color w:val="4C5A73"/>
          <w:sz w:val="24"/>
          <w:szCs w:val="24"/>
          <w:lang w:val="en-GB"/>
        </w:rPr>
        <w:t>Thought and Knowledge: An Introduction to Critical Thinking</w:t>
      </w:r>
      <w:r w:rsidRPr="067BFEC9" w:rsidR="79BA95F7">
        <w:rPr>
          <w:rFonts w:ascii="Aptos" w:hAnsi="Aptos" w:eastAsia="Aptos" w:cs="Aptos"/>
          <w:b w:val="0"/>
          <w:bCs w:val="0"/>
          <w:i w:val="0"/>
          <w:iCs w:val="0"/>
          <w:caps w:val="0"/>
          <w:smallCaps w:val="0"/>
          <w:noProof w:val="0"/>
          <w:color w:val="4C5A73"/>
          <w:sz w:val="24"/>
          <w:szCs w:val="24"/>
          <w:lang w:val="en-GB"/>
        </w:rPr>
        <w:t xml:space="preserve"> (6th ed.) Psychology Press.</w:t>
      </w:r>
    </w:p>
    <w:p w:rsidR="79BA95F7" w:rsidP="067BFEC9" w:rsidRDefault="79BA95F7" w14:paraId="45B9E02C" w14:textId="1241C97A">
      <w:pPr>
        <w:shd w:val="clear" w:color="auto" w:fill="FFFFFF" w:themeFill="background1"/>
        <w:spacing w:before="0" w:beforeAutospacing="off" w:after="240" w:afterAutospacing="off"/>
        <w:jc w:val="left"/>
      </w:pPr>
      <w:r w:rsidRPr="067BFEC9" w:rsidR="79BA95F7">
        <w:rPr>
          <w:rFonts w:ascii="Aptos" w:hAnsi="Aptos" w:eastAsia="Aptos" w:cs="Aptos"/>
          <w:b w:val="0"/>
          <w:bCs w:val="0"/>
          <w:i w:val="0"/>
          <w:iCs w:val="0"/>
          <w:caps w:val="0"/>
          <w:smallCaps w:val="0"/>
          <w:noProof w:val="0"/>
          <w:color w:val="4C5A73"/>
          <w:sz w:val="24"/>
          <w:szCs w:val="24"/>
          <w:lang w:val="en-GB"/>
        </w:rPr>
        <w:t xml:space="preserve">Nahi, A. A. (2026). Floating and Violating of the Cooperative Principles of Gricean Maxims in Political Speeches. </w:t>
      </w:r>
      <w:r w:rsidRPr="067BFEC9" w:rsidR="79BA95F7">
        <w:rPr>
          <w:rFonts w:ascii="Aptos" w:hAnsi="Aptos" w:eastAsia="Aptos" w:cs="Aptos"/>
          <w:b w:val="0"/>
          <w:bCs w:val="0"/>
          <w:i w:val="1"/>
          <w:iCs w:val="1"/>
          <w:caps w:val="0"/>
          <w:smallCaps w:val="0"/>
          <w:noProof w:val="0"/>
          <w:color w:val="4C5A73"/>
          <w:sz w:val="24"/>
          <w:szCs w:val="24"/>
          <w:lang w:val="en-GB"/>
        </w:rPr>
        <w:t>UKR Journal of Education and Literature (UKRJEL), 2</w:t>
      </w:r>
      <w:r w:rsidRPr="067BFEC9" w:rsidR="79BA95F7">
        <w:rPr>
          <w:rFonts w:ascii="Aptos" w:hAnsi="Aptos" w:eastAsia="Aptos" w:cs="Aptos"/>
          <w:b w:val="0"/>
          <w:bCs w:val="0"/>
          <w:i w:val="0"/>
          <w:iCs w:val="0"/>
          <w:caps w:val="0"/>
          <w:smallCaps w:val="0"/>
          <w:noProof w:val="0"/>
          <w:color w:val="4C5A73"/>
          <w:sz w:val="24"/>
          <w:szCs w:val="24"/>
          <w:lang w:val="en-GB"/>
        </w:rPr>
        <w:t xml:space="preserve">(3) 111-117 </w:t>
      </w:r>
      <w:hyperlink r:id="Rc9cc6753154a42f3">
        <w:r w:rsidRPr="067BFEC9" w:rsidR="79BA95F7">
          <w:rPr>
            <w:rStyle w:val="Hyperlink"/>
            <w:b w:val="1"/>
            <w:bCs w:val="1"/>
            <w:i w:val="0"/>
            <w:iCs w:val="0"/>
            <w:caps w:val="0"/>
            <w:smallCaps w:val="0"/>
            <w:strike w:val="0"/>
            <w:dstrike w:val="0"/>
            <w:noProof w:val="0"/>
            <w:color w:val="622567"/>
            <w:u w:val="single"/>
            <w:lang w:val="en-GB"/>
          </w:rPr>
          <w:t>https://doi.org/10.5281/zenodo.20669272</w:t>
        </w:r>
      </w:hyperlink>
    </w:p>
    <w:p w:rsidR="79BA95F7" w:rsidP="067BFEC9" w:rsidRDefault="79BA95F7" w14:paraId="2048438D" w14:textId="023B0B5B">
      <w:pPr>
        <w:shd w:val="clear" w:color="auto" w:fill="FFFFFF" w:themeFill="background1"/>
        <w:spacing w:before="0" w:beforeAutospacing="off" w:after="240" w:afterAutospacing="off"/>
        <w:jc w:val="left"/>
        <w:rPr>
          <w:rFonts w:ascii="Aptos" w:hAnsi="Aptos" w:eastAsia="Aptos" w:cs="Aptos"/>
          <w:b w:val="0"/>
          <w:bCs w:val="0"/>
          <w:i w:val="0"/>
          <w:iCs w:val="0"/>
          <w:caps w:val="0"/>
          <w:smallCaps w:val="0"/>
          <w:noProof w:val="0"/>
          <w:color w:val="4C5A73"/>
          <w:sz w:val="24"/>
          <w:szCs w:val="24"/>
          <w:lang w:val="en-GB"/>
        </w:rPr>
      </w:pPr>
      <w:r w:rsidR="79BA95F7">
        <w:rPr/>
        <w:t>--</w:t>
      </w:r>
      <w:r>
        <w:br/>
      </w:r>
      <w:r>
        <w:br/>
      </w:r>
      <w:r w:rsidRPr="067BFEC9" w:rsidR="3D3D0C18">
        <w:rPr>
          <w:rFonts w:ascii="Aptos" w:hAnsi="Aptos" w:eastAsia="Aptos" w:cs="Aptos"/>
          <w:b w:val="0"/>
          <w:bCs w:val="0"/>
          <w:i w:val="0"/>
          <w:iCs w:val="0"/>
          <w:caps w:val="0"/>
          <w:smallCaps w:val="0"/>
          <w:noProof w:val="0"/>
          <w:color w:val="4C5A73"/>
          <w:sz w:val="24"/>
          <w:szCs w:val="24"/>
          <w:lang w:val="en-GB"/>
        </w:rPr>
        <w:t>Peer Response 1</w:t>
      </w:r>
      <w:r>
        <w:br/>
      </w:r>
    </w:p>
    <w:p w:rsidR="067BFEC9" w:rsidP="067BFEC9" w:rsidRDefault="067BFEC9" w14:paraId="50E35FAD" w14:textId="1C6DEB87">
      <w:pPr>
        <w:shd w:val="clear" w:color="auto" w:fill="FFFFFF" w:themeFill="background1"/>
        <w:spacing w:before="0" w:beforeAutospacing="off" w:after="240" w:afterAutospacing="off"/>
        <w:jc w:val="left"/>
      </w:pPr>
    </w:p>
    <w:p w:rsidR="3D3D0C18" w:rsidP="067BFEC9" w:rsidRDefault="3D3D0C18" w14:paraId="24E7A6F9" w14:textId="79556275">
      <w:pPr>
        <w:shd w:val="clear" w:color="auto" w:fill="FFFFFF" w:themeFill="background1"/>
        <w:spacing w:before="0" w:beforeAutospacing="off" w:after="240" w:afterAutospacing="off"/>
        <w:jc w:val="left"/>
      </w:pPr>
      <w:r w:rsidRPr="067BFEC9" w:rsidR="3D3D0C18">
        <w:rPr>
          <w:rFonts w:ascii="Aptos" w:hAnsi="Aptos" w:eastAsia="Aptos" w:cs="Aptos"/>
          <w:b w:val="0"/>
          <w:bCs w:val="0"/>
          <w:i w:val="0"/>
          <w:iCs w:val="0"/>
          <w:caps w:val="0"/>
          <w:smallCaps w:val="0"/>
          <w:noProof w:val="0"/>
          <w:color w:val="4C5A73"/>
          <w:sz w:val="24"/>
          <w:szCs w:val="24"/>
          <w:lang w:val="en-GB"/>
        </w:rPr>
        <w:t>Thank you, Sharon, for your post.</w:t>
      </w:r>
    </w:p>
    <w:p w:rsidR="3D3D0C18" w:rsidP="067BFEC9" w:rsidRDefault="3D3D0C18" w14:paraId="336A5687" w14:textId="53E7DD62">
      <w:pPr>
        <w:shd w:val="clear" w:color="auto" w:fill="FFFFFF" w:themeFill="background1"/>
        <w:spacing w:before="0" w:beforeAutospacing="off" w:after="240" w:afterAutospacing="off"/>
        <w:jc w:val="left"/>
      </w:pPr>
      <w:r w:rsidRPr="067BFEC9" w:rsidR="3D3D0C18">
        <w:rPr>
          <w:rFonts w:ascii="Aptos" w:hAnsi="Aptos" w:eastAsia="Aptos" w:cs="Aptos"/>
          <w:b w:val="0"/>
          <w:bCs w:val="0"/>
          <w:i w:val="0"/>
          <w:iCs w:val="0"/>
          <w:caps w:val="0"/>
          <w:smallCaps w:val="0"/>
          <w:noProof w:val="0"/>
          <w:color w:val="4C5A73"/>
          <w:sz w:val="24"/>
          <w:szCs w:val="24"/>
          <w:lang w:val="en-GB"/>
        </w:rPr>
        <w:t>One notable strength of your observation is the argument that psychographic targeting satisfies Grice’s (1975) maxim of relation by deliberately tailoring messages to recipients’ concerns. I agree with this point; however, it prompts further consideration of the cognitive implications of selectively curated information for psychological relevance. Such targeting may reinforce pre-existing beliefs, making messages appear especially pertinent while also strengthening established convictions. Halpern and Dunn (2023) suggested that prior beliefs, associative networks, and unconscious conditioning influence how information is processed and integrated into existing cognitive frameworks. Therefore, while psychographic targeting may enhance relevance in audience selection, it may also create conditions in which selective information fosters unconscious conditioning. This interaction among unconscious conditioning, prior beliefs, and selective messaging complicates the broader goals of cooperative communication and critical thinking.</w:t>
      </w:r>
    </w:p>
    <w:p w:rsidR="3D3D0C18" w:rsidP="067BFEC9" w:rsidRDefault="3D3D0C18" w14:paraId="2E0C3A3E" w14:textId="460C3C37">
      <w:pPr>
        <w:shd w:val="clear" w:color="auto" w:fill="FFFFFF" w:themeFill="background1"/>
        <w:spacing w:before="0" w:beforeAutospacing="off" w:after="240" w:afterAutospacing="off"/>
        <w:jc w:val="left"/>
      </w:pPr>
      <w:r w:rsidRPr="067BFEC9" w:rsidR="3D3D0C18">
        <w:rPr>
          <w:rFonts w:ascii="Aptos" w:hAnsi="Aptos" w:eastAsia="Aptos" w:cs="Aptos"/>
          <w:b w:val="0"/>
          <w:bCs w:val="0"/>
          <w:i w:val="0"/>
          <w:iCs w:val="0"/>
          <w:caps w:val="0"/>
          <w:smallCaps w:val="0"/>
          <w:noProof w:val="0"/>
          <w:color w:val="4C5A73"/>
          <w:sz w:val="24"/>
          <w:szCs w:val="24"/>
          <w:lang w:val="en-GB"/>
        </w:rPr>
        <w:t>I agree that critical thinking can be developed; however, I would qualify the assumption that training necessarily produces transferable skills. As you noted, Abrami et al. (2015) found positive effects of critical-thinking instruction, and Batdı et al. (2024) similarly provide evidence supporting critical-thinking training. Nevertheless, Hatcher (2013) raises concerns about the assessment of critical thinking, and Possin (2013) questions whether improved assessment performance truly reflects genuine critical-thinking ability. Thus, while evidence supports the development of critical thinking, it does not guarantee effective transfer to complex contexts. Your suggestion of structured reflection and post-campaign evaluation is particularly relevant, as it could help determine whether these skills are applied beyond the training environment.</w:t>
      </w:r>
    </w:p>
    <w:p w:rsidR="3D3D0C18" w:rsidP="067BFEC9" w:rsidRDefault="3D3D0C18" w14:paraId="4EBC5726" w14:textId="29DCBB87">
      <w:pPr>
        <w:shd w:val="clear" w:color="auto" w:fill="FFFFFF" w:themeFill="background1"/>
        <w:spacing w:before="0" w:beforeAutospacing="off" w:after="240" w:afterAutospacing="off"/>
        <w:jc w:val="left"/>
      </w:pPr>
      <w:r w:rsidRPr="067BFEC9" w:rsidR="3D3D0C18">
        <w:rPr>
          <w:rFonts w:ascii="Aptos" w:hAnsi="Aptos" w:eastAsia="Aptos" w:cs="Aptos"/>
          <w:b w:val="0"/>
          <w:bCs w:val="0"/>
          <w:i w:val="0"/>
          <w:iCs w:val="0"/>
          <w:caps w:val="0"/>
          <w:smallCaps w:val="0"/>
          <w:noProof w:val="0"/>
          <w:color w:val="4C5A73"/>
          <w:sz w:val="24"/>
          <w:szCs w:val="24"/>
          <w:lang w:val="en-GB"/>
        </w:rPr>
        <w:t>Your argument persuasively demonstrated that critical thinking and Gricean cooperation do not necessarily coincide. Nonetheless, the distinction between effective reasoning and cooperative communication merits further exploration. Halpern and Dunn (2023) enhance this discussion by highlighting that communication requires recipients to construct meaning from incomplete information, interpret it, and infer context. Consequently, psychographic targeting not only shapes the information presented but also utilises an understanding of how different recipients are likely to interpret that information.</w:t>
      </w:r>
    </w:p>
    <w:p w:rsidR="067BFEC9" w:rsidP="067BFEC9" w:rsidRDefault="067BFEC9" w14:paraId="3C938852" w14:textId="566123F7">
      <w:pPr>
        <w:shd w:val="clear" w:color="auto" w:fill="FFFFFF" w:themeFill="background1"/>
        <w:spacing w:before="0" w:beforeAutospacing="off" w:after="240" w:afterAutospacing="off"/>
        <w:jc w:val="left"/>
      </w:pPr>
    </w:p>
    <w:p w:rsidR="067BFEC9" w:rsidP="067BFEC9" w:rsidRDefault="067BFEC9" w14:paraId="06EEB553" w14:textId="49A48849">
      <w:pPr>
        <w:shd w:val="clear" w:color="auto" w:fill="FFFFFF" w:themeFill="background1"/>
        <w:spacing w:before="0" w:beforeAutospacing="off" w:after="240" w:afterAutospacing="off"/>
        <w:jc w:val="left"/>
      </w:pPr>
    </w:p>
    <w:p w:rsidR="3D3D0C18" w:rsidP="067BFEC9" w:rsidRDefault="3D3D0C18" w14:paraId="7A3E642A" w14:textId="1B1E0534">
      <w:pPr>
        <w:shd w:val="clear" w:color="auto" w:fill="FFFFFF" w:themeFill="background1"/>
        <w:spacing w:before="0" w:beforeAutospacing="off" w:after="240" w:afterAutospacing="off"/>
        <w:jc w:val="left"/>
      </w:pPr>
      <w:r w:rsidRPr="067BFEC9" w:rsidR="3D3D0C18">
        <w:rPr>
          <w:rFonts w:ascii="Aptos" w:hAnsi="Aptos" w:eastAsia="Aptos" w:cs="Aptos"/>
          <w:b w:val="0"/>
          <w:bCs w:val="0"/>
          <w:i w:val="0"/>
          <w:iCs w:val="0"/>
          <w:caps w:val="0"/>
          <w:smallCaps w:val="0"/>
          <w:noProof w:val="0"/>
          <w:color w:val="4C5A73"/>
          <w:sz w:val="24"/>
          <w:szCs w:val="24"/>
          <w:lang w:val="en-GB"/>
        </w:rPr>
        <w:t>References:</w:t>
      </w:r>
    </w:p>
    <w:p w:rsidR="3D3D0C18" w:rsidP="067BFEC9" w:rsidRDefault="3D3D0C18" w14:paraId="362F4487" w14:textId="0ADA2F6B">
      <w:pPr>
        <w:shd w:val="clear" w:color="auto" w:fill="FFFFFF" w:themeFill="background1"/>
        <w:spacing w:before="0" w:beforeAutospacing="off" w:after="240" w:afterAutospacing="off"/>
        <w:jc w:val="left"/>
      </w:pPr>
      <w:r w:rsidRPr="067BFEC9" w:rsidR="3D3D0C18">
        <w:rPr>
          <w:rFonts w:ascii="Aptos" w:hAnsi="Aptos" w:eastAsia="Aptos" w:cs="Aptos"/>
          <w:b w:val="0"/>
          <w:bCs w:val="0"/>
          <w:i w:val="0"/>
          <w:iCs w:val="0"/>
          <w:caps w:val="0"/>
          <w:smallCaps w:val="0"/>
          <w:noProof w:val="0"/>
          <w:color w:val="4C5A73"/>
          <w:sz w:val="24"/>
          <w:szCs w:val="24"/>
          <w:lang w:val="en-GB"/>
        </w:rPr>
        <w:t>Abrami, P. C., Bernard, R. M., Borokhovski, E., Waddington, D. I., Wade, C. A., &amp; Persson, T. (2015). Strategies for teaching students to think critically: A meta-analysis.</w:t>
      </w:r>
      <w:r w:rsidRPr="067BFEC9" w:rsidR="3D3D0C18">
        <w:rPr>
          <w:rFonts w:ascii="Aptos" w:hAnsi="Aptos" w:eastAsia="Aptos" w:cs="Aptos"/>
          <w:b w:val="0"/>
          <w:bCs w:val="0"/>
          <w:i w:val="1"/>
          <w:iCs w:val="1"/>
          <w:caps w:val="0"/>
          <w:smallCaps w:val="0"/>
          <w:noProof w:val="0"/>
          <w:color w:val="4C5A73"/>
          <w:sz w:val="24"/>
          <w:szCs w:val="24"/>
          <w:lang w:val="en-GB"/>
        </w:rPr>
        <w:t xml:space="preserve"> Review of Educational Research, 85</w:t>
      </w:r>
      <w:r w:rsidRPr="067BFEC9" w:rsidR="3D3D0C18">
        <w:rPr>
          <w:rFonts w:ascii="Aptos" w:hAnsi="Aptos" w:eastAsia="Aptos" w:cs="Aptos"/>
          <w:b w:val="0"/>
          <w:bCs w:val="0"/>
          <w:i w:val="0"/>
          <w:iCs w:val="0"/>
          <w:caps w:val="0"/>
          <w:smallCaps w:val="0"/>
          <w:noProof w:val="0"/>
          <w:color w:val="4C5A73"/>
          <w:sz w:val="24"/>
          <w:szCs w:val="24"/>
          <w:lang w:val="en-GB"/>
        </w:rPr>
        <w:t xml:space="preserve">(2), 275–314. </w:t>
      </w:r>
      <w:hyperlink r:id="R8806ae631c4f4785">
        <w:r w:rsidRPr="067BFEC9" w:rsidR="3D3D0C18">
          <w:rPr>
            <w:rStyle w:val="Hyperlink"/>
            <w:b w:val="1"/>
            <w:bCs w:val="1"/>
            <w:i w:val="0"/>
            <w:iCs w:val="0"/>
            <w:caps w:val="0"/>
            <w:smallCaps w:val="0"/>
            <w:strike w:val="0"/>
            <w:dstrike w:val="0"/>
            <w:noProof w:val="0"/>
            <w:color w:val="622567"/>
            <w:u w:val="single"/>
            <w:lang w:val="en-GB"/>
          </w:rPr>
          <w:t>https://doi.org/10.3102/0034654314551063</w:t>
        </w:r>
      </w:hyperlink>
    </w:p>
    <w:p w:rsidR="3D3D0C18" w:rsidP="067BFEC9" w:rsidRDefault="3D3D0C18" w14:paraId="4B534AD0" w14:textId="46B2CBEF">
      <w:pPr>
        <w:shd w:val="clear" w:color="auto" w:fill="FFFFFF" w:themeFill="background1"/>
        <w:spacing w:before="0" w:beforeAutospacing="off" w:after="240" w:afterAutospacing="off"/>
        <w:jc w:val="left"/>
      </w:pPr>
      <w:r w:rsidRPr="067BFEC9" w:rsidR="3D3D0C18">
        <w:rPr>
          <w:rFonts w:ascii="Aptos" w:hAnsi="Aptos" w:eastAsia="Aptos" w:cs="Aptos"/>
          <w:b w:val="0"/>
          <w:bCs w:val="0"/>
          <w:i w:val="0"/>
          <w:iCs w:val="0"/>
          <w:caps w:val="0"/>
          <w:smallCaps w:val="0"/>
          <w:noProof w:val="0"/>
          <w:color w:val="4C5A73"/>
          <w:sz w:val="24"/>
          <w:szCs w:val="24"/>
          <w:lang w:val="en-GB"/>
        </w:rPr>
        <w:t xml:space="preserve">Batdı, V., Elaldı, Ş., Özçelik, C., Semerci, N., &amp; Özkaya, Ö. M. (2024). Evaluation of the effectiveness of critical thinking training on critical thinking skills and academic achievement by using mixed-meta method. </w:t>
      </w:r>
      <w:r w:rsidRPr="067BFEC9" w:rsidR="3D3D0C18">
        <w:rPr>
          <w:rFonts w:ascii="Aptos" w:hAnsi="Aptos" w:eastAsia="Aptos" w:cs="Aptos"/>
          <w:b w:val="0"/>
          <w:bCs w:val="0"/>
          <w:i w:val="1"/>
          <w:iCs w:val="1"/>
          <w:caps w:val="0"/>
          <w:smallCaps w:val="0"/>
          <w:noProof w:val="0"/>
          <w:color w:val="4C5A73"/>
          <w:sz w:val="24"/>
          <w:szCs w:val="24"/>
          <w:lang w:val="en-GB"/>
        </w:rPr>
        <w:t>Review of Education, 12</w:t>
      </w:r>
      <w:r w:rsidRPr="067BFEC9" w:rsidR="3D3D0C18">
        <w:rPr>
          <w:rFonts w:ascii="Aptos" w:hAnsi="Aptos" w:eastAsia="Aptos" w:cs="Aptos"/>
          <w:b w:val="0"/>
          <w:bCs w:val="0"/>
          <w:i w:val="0"/>
          <w:iCs w:val="0"/>
          <w:caps w:val="0"/>
          <w:smallCaps w:val="0"/>
          <w:noProof w:val="0"/>
          <w:color w:val="4C5A73"/>
          <w:sz w:val="24"/>
          <w:szCs w:val="24"/>
          <w:lang w:val="en-GB"/>
        </w:rPr>
        <w:t xml:space="preserve">(3), e70001. </w:t>
      </w:r>
      <w:hyperlink r:id="R6b768138d7a4464c">
        <w:r w:rsidRPr="067BFEC9" w:rsidR="3D3D0C18">
          <w:rPr>
            <w:rStyle w:val="Hyperlink"/>
            <w:b w:val="1"/>
            <w:bCs w:val="1"/>
            <w:i w:val="0"/>
            <w:iCs w:val="0"/>
            <w:caps w:val="0"/>
            <w:smallCaps w:val="0"/>
            <w:strike w:val="0"/>
            <w:dstrike w:val="0"/>
            <w:noProof w:val="0"/>
            <w:color w:val="622567"/>
            <w:u w:val="single"/>
            <w:lang w:val="en-GB"/>
          </w:rPr>
          <w:t>https://doi.org/10.1002/rev3.7000</w:t>
        </w:r>
      </w:hyperlink>
    </w:p>
    <w:p w:rsidR="3D3D0C18" w:rsidP="067BFEC9" w:rsidRDefault="3D3D0C18" w14:paraId="7FDF84A0" w14:textId="3855E11C">
      <w:pPr>
        <w:shd w:val="clear" w:color="auto" w:fill="FFFFFF" w:themeFill="background1"/>
        <w:spacing w:before="0" w:beforeAutospacing="off" w:after="240" w:afterAutospacing="off"/>
        <w:jc w:val="left"/>
      </w:pPr>
      <w:r w:rsidRPr="067BFEC9" w:rsidR="3D3D0C18">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067BFEC9" w:rsidR="3D3D0C18">
        <w:rPr>
          <w:rFonts w:ascii="Aptos" w:hAnsi="Aptos" w:eastAsia="Aptos" w:cs="Aptos"/>
          <w:b w:val="0"/>
          <w:bCs w:val="0"/>
          <w:i w:val="1"/>
          <w:iCs w:val="1"/>
          <w:caps w:val="0"/>
          <w:smallCaps w:val="0"/>
          <w:noProof w:val="0"/>
          <w:color w:val="4C5A73"/>
          <w:sz w:val="24"/>
          <w:szCs w:val="24"/>
          <w:lang w:val="en-GB"/>
        </w:rPr>
        <w:t>Syntax and Semantics, Vol. 3</w:t>
      </w:r>
      <w:r w:rsidRPr="067BFEC9" w:rsidR="3D3D0C18">
        <w:rPr>
          <w:rFonts w:ascii="Aptos" w:hAnsi="Aptos" w:eastAsia="Aptos" w:cs="Aptos"/>
          <w:b w:val="0"/>
          <w:bCs w:val="0"/>
          <w:i w:val="0"/>
          <w:iCs w:val="0"/>
          <w:caps w:val="0"/>
          <w:smallCaps w:val="0"/>
          <w:noProof w:val="0"/>
          <w:color w:val="4C5A73"/>
          <w:sz w:val="24"/>
          <w:szCs w:val="24"/>
          <w:lang w:val="en-GB"/>
        </w:rPr>
        <w:t>, Speech Acts (pp. 41-58). Academic Press.</w:t>
      </w:r>
    </w:p>
    <w:p w:rsidR="3D3D0C18" w:rsidP="067BFEC9" w:rsidRDefault="3D3D0C18" w14:paraId="556909FF" w14:textId="57BE2118">
      <w:pPr>
        <w:jc w:val="left"/>
        <w:rPr>
          <w:rFonts w:ascii="Aptos" w:hAnsi="Aptos" w:eastAsia="Aptos" w:cs="Aptos"/>
          <w:b w:val="0"/>
          <w:bCs w:val="0"/>
          <w:i w:val="0"/>
          <w:iCs w:val="0"/>
          <w:noProof w:val="0"/>
          <w:color w:val="4C5A73"/>
          <w:sz w:val="24"/>
          <w:szCs w:val="24"/>
          <w:lang w:val="en-GB"/>
        </w:rPr>
      </w:pPr>
      <w:r w:rsidRPr="067BFEC9" w:rsidR="3D3D0C18">
        <w:rPr>
          <w:rFonts w:ascii="Aptos" w:hAnsi="Aptos" w:eastAsia="Aptos" w:cs="Aptos"/>
          <w:b w:val="0"/>
          <w:bCs w:val="0"/>
          <w:i w:val="0"/>
          <w:iCs w:val="0"/>
          <w:noProof w:val="0"/>
          <w:color w:val="4C5A73"/>
          <w:sz w:val="24"/>
          <w:szCs w:val="24"/>
          <w:lang w:val="en-GB"/>
        </w:rPr>
        <w:t xml:space="preserve">Halpern, D. F., &amp; Dunn D. S. (2023). </w:t>
      </w:r>
      <w:r w:rsidRPr="067BFEC9" w:rsidR="3D3D0C18">
        <w:rPr>
          <w:rFonts w:ascii="Aptos" w:hAnsi="Aptos" w:eastAsia="Aptos" w:cs="Aptos"/>
          <w:b w:val="0"/>
          <w:bCs w:val="0"/>
          <w:i w:val="1"/>
          <w:iCs w:val="1"/>
          <w:noProof w:val="0"/>
          <w:color w:val="4C5A73"/>
          <w:sz w:val="24"/>
          <w:szCs w:val="24"/>
          <w:lang w:val="en-GB"/>
        </w:rPr>
        <w:t>Thought and Knowledge: An Introduction to Critical Thinking</w:t>
      </w:r>
      <w:r w:rsidRPr="067BFEC9" w:rsidR="3D3D0C18">
        <w:rPr>
          <w:rFonts w:ascii="Aptos" w:hAnsi="Aptos" w:eastAsia="Aptos" w:cs="Aptos"/>
          <w:b w:val="0"/>
          <w:bCs w:val="0"/>
          <w:i w:val="0"/>
          <w:iCs w:val="0"/>
          <w:noProof w:val="0"/>
          <w:color w:val="4C5A73"/>
          <w:sz w:val="24"/>
          <w:szCs w:val="24"/>
          <w:lang w:val="en-GB"/>
        </w:rPr>
        <w:t xml:space="preserve"> (6th ed.). Psychology Press.</w:t>
      </w:r>
      <w:r>
        <w:br/>
      </w:r>
      <w:r>
        <w:br/>
      </w:r>
    </w:p>
    <w:p w:rsidR="3D3D0C18" w:rsidP="067BFEC9" w:rsidRDefault="3D3D0C18" w14:paraId="5CD39EEB" w14:textId="7EA9A86B">
      <w:pPr>
        <w:shd w:val="clear" w:color="auto" w:fill="FFFFFF" w:themeFill="background1"/>
        <w:spacing w:before="0" w:beforeAutospacing="off" w:after="240" w:afterAutospacing="off"/>
        <w:jc w:val="left"/>
      </w:pPr>
      <w:r w:rsidRPr="067BFEC9" w:rsidR="3D3D0C18">
        <w:rPr>
          <w:rFonts w:ascii="Aptos" w:hAnsi="Aptos" w:eastAsia="Aptos" w:cs="Aptos"/>
          <w:b w:val="0"/>
          <w:bCs w:val="0"/>
          <w:i w:val="0"/>
          <w:iCs w:val="0"/>
          <w:caps w:val="0"/>
          <w:smallCaps w:val="0"/>
          <w:noProof w:val="0"/>
          <w:color w:val="4C5A73"/>
          <w:sz w:val="24"/>
          <w:szCs w:val="24"/>
          <w:lang w:val="en-GB"/>
        </w:rPr>
        <w:t xml:space="preserve">Hatcher, D. L. (2013). The Halpern Critical Thinking Assessment: A review. </w:t>
      </w:r>
      <w:r w:rsidRPr="067BFEC9" w:rsidR="3D3D0C18">
        <w:rPr>
          <w:rFonts w:ascii="Aptos" w:hAnsi="Aptos" w:eastAsia="Aptos" w:cs="Aptos"/>
          <w:b w:val="0"/>
          <w:bCs w:val="0"/>
          <w:i w:val="1"/>
          <w:iCs w:val="1"/>
          <w:caps w:val="0"/>
          <w:smallCaps w:val="0"/>
          <w:noProof w:val="0"/>
          <w:color w:val="4C5A73"/>
          <w:sz w:val="24"/>
          <w:szCs w:val="24"/>
          <w:lang w:val="en-GB"/>
        </w:rPr>
        <w:t>Inquiry: Critical Thinking Across the Disciplines, 28</w:t>
      </w:r>
      <w:r w:rsidRPr="067BFEC9" w:rsidR="3D3D0C18">
        <w:rPr>
          <w:rFonts w:ascii="Aptos" w:hAnsi="Aptos" w:eastAsia="Aptos" w:cs="Aptos"/>
          <w:b w:val="0"/>
          <w:bCs w:val="0"/>
          <w:i w:val="0"/>
          <w:iCs w:val="0"/>
          <w:caps w:val="0"/>
          <w:smallCaps w:val="0"/>
          <w:noProof w:val="0"/>
          <w:color w:val="4C5A73"/>
          <w:sz w:val="24"/>
          <w:szCs w:val="24"/>
          <w:lang w:val="en-GB"/>
        </w:rPr>
        <w:t xml:space="preserve">(3), 18–23. </w:t>
      </w:r>
      <w:hyperlink r:id="Rbca4ee864264421e">
        <w:r w:rsidRPr="067BFEC9" w:rsidR="3D3D0C18">
          <w:rPr>
            <w:rStyle w:val="Hyperlink"/>
            <w:b w:val="1"/>
            <w:bCs w:val="1"/>
            <w:i w:val="0"/>
            <w:iCs w:val="0"/>
            <w:caps w:val="0"/>
            <w:smallCaps w:val="0"/>
            <w:strike w:val="0"/>
            <w:dstrike w:val="0"/>
            <w:noProof w:val="0"/>
            <w:color w:val="622567"/>
            <w:u w:val="single"/>
            <w:lang w:val="en-GB"/>
          </w:rPr>
          <w:t>https://doi.org/10.5840/inquiryct201328315</w:t>
        </w:r>
      </w:hyperlink>
    </w:p>
    <w:p w:rsidR="3D3D0C18" w:rsidP="067BFEC9" w:rsidRDefault="3D3D0C18" w14:paraId="75A636AB" w14:textId="08746ED1">
      <w:pPr>
        <w:pBdr>
          <w:bottom w:val="single" w:color="000000" w:sz="6" w:space="1"/>
        </w:pBdr>
        <w:shd w:val="clear" w:color="auto" w:fill="FFFFFF" w:themeFill="background1"/>
        <w:spacing w:before="0" w:beforeAutospacing="off" w:after="240" w:afterAutospacing="off"/>
        <w:jc w:val="left"/>
      </w:pPr>
      <w:r w:rsidRPr="067BFEC9" w:rsidR="3D3D0C18">
        <w:rPr>
          <w:rFonts w:ascii="Aptos" w:hAnsi="Aptos" w:eastAsia="Aptos" w:cs="Aptos"/>
          <w:b w:val="0"/>
          <w:bCs w:val="0"/>
          <w:i w:val="0"/>
          <w:iCs w:val="0"/>
          <w:caps w:val="0"/>
          <w:smallCaps w:val="0"/>
          <w:noProof w:val="0"/>
          <w:color w:val="4C5A73"/>
          <w:sz w:val="24"/>
          <w:szCs w:val="24"/>
          <w:lang w:val="en-GB"/>
        </w:rPr>
        <w:t xml:space="preserve">Possin, K. (2013). Some Problems with the Halpern Critical Thinking Assessment (HCTA) Test. </w:t>
      </w:r>
      <w:r w:rsidRPr="067BFEC9" w:rsidR="3D3D0C18">
        <w:rPr>
          <w:rFonts w:ascii="Aptos" w:hAnsi="Aptos" w:eastAsia="Aptos" w:cs="Aptos"/>
          <w:b w:val="0"/>
          <w:bCs w:val="0"/>
          <w:i w:val="1"/>
          <w:iCs w:val="1"/>
          <w:caps w:val="0"/>
          <w:smallCaps w:val="0"/>
          <w:noProof w:val="0"/>
          <w:color w:val="4C5A73"/>
          <w:sz w:val="24"/>
          <w:szCs w:val="24"/>
          <w:lang w:val="en-GB"/>
        </w:rPr>
        <w:t>Inquiry: Critical Thinking Across the Disciplines, 28</w:t>
      </w:r>
      <w:r w:rsidRPr="067BFEC9" w:rsidR="3D3D0C18">
        <w:rPr>
          <w:rFonts w:ascii="Aptos" w:hAnsi="Aptos" w:eastAsia="Aptos" w:cs="Aptos"/>
          <w:b w:val="0"/>
          <w:bCs w:val="0"/>
          <w:i w:val="0"/>
          <w:iCs w:val="0"/>
          <w:caps w:val="0"/>
          <w:smallCaps w:val="0"/>
          <w:noProof w:val="0"/>
          <w:color w:val="4C5A73"/>
          <w:sz w:val="24"/>
          <w:szCs w:val="24"/>
          <w:lang w:val="en-GB"/>
        </w:rPr>
        <w:t xml:space="preserve">(3), 4-12. </w:t>
      </w:r>
      <w:hyperlink r:id="R87999acbf046483e">
        <w:r w:rsidRPr="067BFEC9" w:rsidR="3D3D0C18">
          <w:rPr>
            <w:rStyle w:val="Hyperlink"/>
            <w:b w:val="1"/>
            <w:bCs w:val="1"/>
            <w:i w:val="0"/>
            <w:iCs w:val="0"/>
            <w:caps w:val="0"/>
            <w:smallCaps w:val="0"/>
            <w:strike w:val="0"/>
            <w:dstrike w:val="0"/>
            <w:noProof w:val="0"/>
            <w:color w:val="622567"/>
            <w:u w:val="single"/>
            <w:lang w:val="en-GB"/>
          </w:rPr>
          <w:t>https://doi.org/10.5840/INQUIRYCT201328313</w:t>
        </w:r>
      </w:hyperlink>
    </w:p>
    <w:p w:rsidR="067BFEC9" w:rsidRDefault="067BFEC9" w14:paraId="6D690311" w14:textId="0608DF4E"/>
    <w:p w:rsidR="3D3D0C18" w:rsidP="067BFEC9" w:rsidRDefault="3D3D0C18" w14:paraId="372FC95A" w14:textId="6872DC91">
      <w:pPr>
        <w:shd w:val="clear" w:color="auto" w:fill="FFFFFF" w:themeFill="background1"/>
        <w:spacing w:before="0" w:beforeAutospacing="off" w:after="240" w:afterAutospacing="off"/>
        <w:jc w:val="left"/>
      </w:pPr>
      <w:r w:rsidR="3D3D0C18">
        <w:rPr/>
        <w:t>PR2:</w:t>
      </w:r>
      <w:r>
        <w:br/>
      </w:r>
      <w:r>
        <w:br/>
      </w:r>
      <w:r w:rsidRPr="067BFEC9" w:rsidR="0AC0D180">
        <w:rPr>
          <w:rFonts w:ascii="Aptos" w:hAnsi="Aptos" w:eastAsia="Aptos" w:cs="Aptos"/>
          <w:b w:val="0"/>
          <w:bCs w:val="0"/>
          <w:i w:val="0"/>
          <w:iCs w:val="0"/>
          <w:caps w:val="0"/>
          <w:smallCaps w:val="0"/>
          <w:noProof w:val="0"/>
          <w:color w:val="4C5A73"/>
          <w:sz w:val="24"/>
          <w:szCs w:val="24"/>
          <w:lang w:val="en-GB"/>
        </w:rPr>
        <w:t>Peer Response 2</w:t>
      </w:r>
    </w:p>
    <w:p w:rsidR="067BFEC9" w:rsidP="067BFEC9" w:rsidRDefault="067BFEC9" w14:paraId="38E729ED" w14:textId="1C55DC49">
      <w:pPr>
        <w:shd w:val="clear" w:color="auto" w:fill="FFFFFF" w:themeFill="background1"/>
        <w:spacing w:before="0" w:beforeAutospacing="off" w:after="240" w:afterAutospacing="off"/>
        <w:jc w:val="left"/>
      </w:pPr>
    </w:p>
    <w:p w:rsidR="0AC0D180" w:rsidP="067BFEC9" w:rsidRDefault="0AC0D180" w14:paraId="66856866" w14:textId="5FCA3707">
      <w:pPr>
        <w:shd w:val="clear" w:color="auto" w:fill="FFFFFF" w:themeFill="background1"/>
        <w:spacing w:before="0" w:beforeAutospacing="off" w:after="240" w:afterAutospacing="off"/>
        <w:jc w:val="left"/>
      </w:pPr>
      <w:r w:rsidRPr="067BFEC9" w:rsidR="0AC0D180">
        <w:rPr>
          <w:rFonts w:ascii="Aptos" w:hAnsi="Aptos" w:eastAsia="Aptos" w:cs="Aptos"/>
          <w:b w:val="0"/>
          <w:bCs w:val="0"/>
          <w:i w:val="0"/>
          <w:iCs w:val="0"/>
          <w:caps w:val="0"/>
          <w:smallCaps w:val="0"/>
          <w:noProof w:val="0"/>
          <w:color w:val="4C5A73"/>
          <w:sz w:val="24"/>
          <w:szCs w:val="24"/>
          <w:lang w:val="en-GB"/>
        </w:rPr>
        <w:t>Thank you for your post, Zihua.</w:t>
      </w:r>
    </w:p>
    <w:p w:rsidR="0AC0D180" w:rsidP="067BFEC9" w:rsidRDefault="0AC0D180" w14:paraId="1F7E6B01" w14:textId="127D62DA">
      <w:pPr>
        <w:shd w:val="clear" w:color="auto" w:fill="FFFFFF" w:themeFill="background1"/>
        <w:spacing w:before="0" w:beforeAutospacing="off" w:after="240" w:afterAutospacing="off"/>
        <w:jc w:val="left"/>
      </w:pPr>
      <w:r w:rsidRPr="067BFEC9" w:rsidR="0AC0D180">
        <w:rPr>
          <w:rFonts w:ascii="Aptos" w:hAnsi="Aptos" w:eastAsia="Aptos" w:cs="Aptos"/>
          <w:b w:val="0"/>
          <w:bCs w:val="0"/>
          <w:i w:val="0"/>
          <w:iCs w:val="0"/>
          <w:caps w:val="0"/>
          <w:smallCaps w:val="0"/>
          <w:noProof w:val="0"/>
          <w:color w:val="4C5A73"/>
          <w:sz w:val="24"/>
          <w:szCs w:val="24"/>
          <w:lang w:val="en-GB"/>
        </w:rPr>
        <w:t>A notable strength of your argument is the connection established between Halpern's framework and the practical activities undertaken by political advertising agencies. The examples of data analysis, assessing credibility, trend recognition, and continual evaluation effectively illustrate how campaign decisions may involve deliberate reasoning. However, it is important to examine whether these activities necessarily demonstrate the transferable application of critical thinking skills, as outlined in Halpern's framework (Halpern, 1998). Nieto and Saiz (2008) explored Halpern's structural component, one of the four components designed to facilitate transfer. They found that while both instructional groups showed improvement compared to the control groups, there were no significant differences between the two instructional approaches. This suggests that training in critical thinking can enhance analytical skills without meaning that every activity involving analysis or evaluation qualifies as critical thinking.</w:t>
      </w:r>
    </w:p>
    <w:p w:rsidR="0AC0D180" w:rsidP="067BFEC9" w:rsidRDefault="0AC0D180" w14:paraId="1CE6C76A" w14:textId="0B3FB58A">
      <w:pPr>
        <w:shd w:val="clear" w:color="auto" w:fill="FFFFFF" w:themeFill="background1"/>
        <w:spacing w:before="0" w:beforeAutospacing="off" w:after="240" w:afterAutospacing="off"/>
        <w:jc w:val="left"/>
      </w:pPr>
      <w:r w:rsidRPr="067BFEC9" w:rsidR="0AC0D180">
        <w:rPr>
          <w:rFonts w:ascii="Aptos" w:hAnsi="Aptos" w:eastAsia="Aptos" w:cs="Aptos"/>
          <w:b w:val="0"/>
          <w:bCs w:val="0"/>
          <w:i w:val="0"/>
          <w:iCs w:val="0"/>
          <w:caps w:val="0"/>
          <w:smallCaps w:val="0"/>
          <w:noProof w:val="0"/>
          <w:color w:val="4C5A73"/>
          <w:sz w:val="24"/>
          <w:szCs w:val="24"/>
          <w:lang w:val="en-GB"/>
        </w:rPr>
        <w:t>You noted that applying consumer marketing techniques to political strategies illustrates both effortful reasoning and metacognitive monitoring, key components of critical thinking. I agree that agencies effectively transfer these techniques from commercial marketing to political campaigns. However, it is important to question whether this demonstrates critical thinking or simply strategic transfer. Chester and Montgomery (2017) specifically explored the implications of computational political and digital targeted marketing technologies in election campaigns. They highlight concerns regarding democratic discourse, transparency and accountability. This distinction is important, as strategic effectiveness does not necessarily indicate the presence of critical thinking.</w:t>
      </w:r>
    </w:p>
    <w:p w:rsidR="0AC0D180" w:rsidP="067BFEC9" w:rsidRDefault="0AC0D180" w14:paraId="0011B2EA" w14:textId="37973C72">
      <w:pPr>
        <w:shd w:val="clear" w:color="auto" w:fill="FFFFFF" w:themeFill="background1"/>
        <w:spacing w:before="0" w:beforeAutospacing="off" w:after="240" w:afterAutospacing="off"/>
        <w:jc w:val="left"/>
      </w:pPr>
      <w:r w:rsidRPr="067BFEC9" w:rsidR="0AC0D180">
        <w:rPr>
          <w:rFonts w:ascii="Aptos" w:hAnsi="Aptos" w:eastAsia="Aptos" w:cs="Aptos"/>
          <w:b w:val="0"/>
          <w:bCs w:val="0"/>
          <w:i w:val="0"/>
          <w:iCs w:val="0"/>
          <w:caps w:val="0"/>
          <w:smallCaps w:val="0"/>
          <w:noProof w:val="0"/>
          <w:color w:val="4C5A73"/>
          <w:sz w:val="24"/>
          <w:szCs w:val="24"/>
          <w:lang w:val="en-GB"/>
        </w:rPr>
        <w:t>Your conclusion that agencies exploit voters' expectations of cooperative communication within the Gricean framework is particularly compelling. You also observe that agencies employ sophisticated reasoning to identify and manipulate these expectations. Although Grice's (1975) cooperative principles are designed to facilitate effective conversational flow, speakers may deliberately violate these maxims to accomplish specific objectives (Buddharat et al., 2018). However, such intentional breaches do not necessarily indicate non-cooperative communication, as they can generate conversational implicatures that remain comprehensible within the appropriate communicative context (Boukhelif et al., 2023; Yeboah, 2021).</w:t>
      </w:r>
    </w:p>
    <w:p w:rsidR="067BFEC9" w:rsidP="067BFEC9" w:rsidRDefault="067BFEC9" w14:paraId="60396753" w14:textId="2F9B1A7D">
      <w:pPr>
        <w:shd w:val="clear" w:color="auto" w:fill="FFFFFF" w:themeFill="background1"/>
        <w:spacing w:before="0" w:beforeAutospacing="off" w:after="240" w:afterAutospacing="off"/>
        <w:jc w:val="left"/>
      </w:pPr>
    </w:p>
    <w:p w:rsidR="067BFEC9" w:rsidP="067BFEC9" w:rsidRDefault="067BFEC9" w14:paraId="2C436F75" w14:textId="460F3ACA">
      <w:pPr>
        <w:shd w:val="clear" w:color="auto" w:fill="FFFFFF" w:themeFill="background1"/>
        <w:spacing w:before="0" w:beforeAutospacing="off" w:after="240" w:afterAutospacing="off"/>
        <w:jc w:val="left"/>
      </w:pPr>
    </w:p>
    <w:p w:rsidR="067BFEC9" w:rsidP="067BFEC9" w:rsidRDefault="067BFEC9" w14:paraId="00FC487B" w14:textId="42B061D4">
      <w:pPr>
        <w:shd w:val="clear" w:color="auto" w:fill="FFFFFF" w:themeFill="background1"/>
        <w:spacing w:before="0" w:beforeAutospacing="off" w:after="240" w:afterAutospacing="off"/>
        <w:jc w:val="left"/>
      </w:pPr>
    </w:p>
    <w:p w:rsidR="0AC0D180" w:rsidP="067BFEC9" w:rsidRDefault="0AC0D180" w14:paraId="4E1CE1F0" w14:textId="38A25C51">
      <w:pPr>
        <w:shd w:val="clear" w:color="auto" w:fill="FFFFFF" w:themeFill="background1"/>
        <w:spacing w:before="0" w:beforeAutospacing="off" w:after="240" w:afterAutospacing="off"/>
        <w:jc w:val="left"/>
      </w:pPr>
      <w:r w:rsidRPr="067BFEC9" w:rsidR="0AC0D180">
        <w:rPr>
          <w:rFonts w:ascii="Aptos" w:hAnsi="Aptos" w:eastAsia="Aptos" w:cs="Aptos"/>
          <w:b w:val="0"/>
          <w:bCs w:val="0"/>
          <w:i w:val="0"/>
          <w:iCs w:val="0"/>
          <w:caps w:val="0"/>
          <w:smallCaps w:val="0"/>
          <w:noProof w:val="0"/>
          <w:color w:val="4C5A73"/>
          <w:sz w:val="24"/>
          <w:szCs w:val="24"/>
          <w:lang w:val="en-GB"/>
        </w:rPr>
        <w:t>References</w:t>
      </w:r>
    </w:p>
    <w:p w:rsidR="0AC0D180" w:rsidP="067BFEC9" w:rsidRDefault="0AC0D180" w14:paraId="46CAF58C" w14:textId="5C140185">
      <w:pPr>
        <w:shd w:val="clear" w:color="auto" w:fill="FFFFFF" w:themeFill="background1"/>
        <w:spacing w:before="0" w:beforeAutospacing="off" w:after="240" w:afterAutospacing="off"/>
        <w:jc w:val="left"/>
      </w:pPr>
      <w:r w:rsidRPr="067BFEC9" w:rsidR="0AC0D180">
        <w:rPr>
          <w:rFonts w:ascii="Aptos" w:hAnsi="Aptos" w:eastAsia="Aptos" w:cs="Aptos"/>
          <w:b w:val="0"/>
          <w:bCs w:val="0"/>
          <w:i w:val="0"/>
          <w:iCs w:val="0"/>
          <w:caps w:val="0"/>
          <w:smallCaps w:val="0"/>
          <w:noProof w:val="0"/>
          <w:color w:val="4C5A73"/>
          <w:sz w:val="24"/>
          <w:szCs w:val="24"/>
          <w:lang w:val="en-GB"/>
        </w:rPr>
        <w:t xml:space="preserve">Boukhelif, N., Abdelhadi, A., &amp; Sahli, N. (2023). Relevance maxim violation and conversational implicature in online humorous discourse. </w:t>
      </w:r>
      <w:r w:rsidRPr="067BFEC9" w:rsidR="0AC0D180">
        <w:rPr>
          <w:rFonts w:ascii="Aptos" w:hAnsi="Aptos" w:eastAsia="Aptos" w:cs="Aptos"/>
          <w:b w:val="0"/>
          <w:bCs w:val="0"/>
          <w:i w:val="1"/>
          <w:iCs w:val="1"/>
          <w:caps w:val="0"/>
          <w:smallCaps w:val="0"/>
          <w:noProof w:val="0"/>
          <w:color w:val="4C5A73"/>
          <w:sz w:val="24"/>
          <w:szCs w:val="24"/>
          <w:lang w:val="en-GB"/>
        </w:rPr>
        <w:t>Journal of Language and Linguistic Studies, 19</w:t>
      </w:r>
      <w:r w:rsidRPr="067BFEC9" w:rsidR="0AC0D180">
        <w:rPr>
          <w:rFonts w:ascii="Aptos" w:hAnsi="Aptos" w:eastAsia="Aptos" w:cs="Aptos"/>
          <w:b w:val="0"/>
          <w:bCs w:val="0"/>
          <w:i w:val="0"/>
          <w:iCs w:val="0"/>
          <w:caps w:val="0"/>
          <w:smallCaps w:val="0"/>
          <w:noProof w:val="0"/>
          <w:color w:val="4C5A73"/>
          <w:sz w:val="24"/>
          <w:szCs w:val="24"/>
          <w:lang w:val="en-GB"/>
        </w:rPr>
        <w:t>(4), 98-105.</w:t>
      </w:r>
    </w:p>
    <w:p w:rsidR="0AC0D180" w:rsidP="067BFEC9" w:rsidRDefault="0AC0D180" w14:paraId="6F308893" w14:textId="1DAD8F1C">
      <w:pPr>
        <w:shd w:val="clear" w:color="auto" w:fill="FFFFFF" w:themeFill="background1"/>
        <w:spacing w:before="0" w:beforeAutospacing="off" w:after="240" w:afterAutospacing="off"/>
        <w:jc w:val="left"/>
      </w:pPr>
      <w:r w:rsidRPr="067BFEC9" w:rsidR="0AC0D180">
        <w:rPr>
          <w:rFonts w:ascii="Aptos" w:hAnsi="Aptos" w:eastAsia="Aptos" w:cs="Aptos"/>
          <w:b w:val="0"/>
          <w:bCs w:val="0"/>
          <w:i w:val="0"/>
          <w:iCs w:val="0"/>
          <w:caps w:val="0"/>
          <w:smallCaps w:val="0"/>
          <w:noProof w:val="0"/>
          <w:color w:val="4C5A73"/>
          <w:sz w:val="24"/>
          <w:szCs w:val="24"/>
          <w:lang w:val="en-GB"/>
        </w:rPr>
        <w:t xml:space="preserve">Buddharat, C., Ambele, E., &amp; Boonsuk, Y. (2018). Uncooperativeness in Political Discourse: Violating Gricean Maxims in Presidential Debate 2016. </w:t>
      </w:r>
      <w:r w:rsidRPr="067BFEC9" w:rsidR="0AC0D180">
        <w:rPr>
          <w:rFonts w:ascii="Aptos" w:hAnsi="Aptos" w:eastAsia="Aptos" w:cs="Aptos"/>
          <w:b w:val="0"/>
          <w:bCs w:val="0"/>
          <w:i w:val="1"/>
          <w:iCs w:val="1"/>
          <w:caps w:val="0"/>
          <w:smallCaps w:val="0"/>
          <w:noProof w:val="0"/>
          <w:color w:val="4C5A73"/>
          <w:sz w:val="24"/>
          <w:szCs w:val="24"/>
          <w:lang w:val="en-GB"/>
        </w:rPr>
        <w:t>Journal of Social Sciences and Humanities in Asia, 23</w:t>
      </w:r>
      <w:r w:rsidRPr="067BFEC9" w:rsidR="0AC0D180">
        <w:rPr>
          <w:rFonts w:ascii="Aptos" w:hAnsi="Aptos" w:eastAsia="Aptos" w:cs="Aptos"/>
          <w:b w:val="0"/>
          <w:bCs w:val="0"/>
          <w:i w:val="0"/>
          <w:iCs w:val="0"/>
          <w:caps w:val="0"/>
          <w:smallCaps w:val="0"/>
          <w:noProof w:val="0"/>
          <w:color w:val="4C5A73"/>
          <w:sz w:val="24"/>
          <w:szCs w:val="24"/>
          <w:lang w:val="en-GB"/>
        </w:rPr>
        <w:t xml:space="preserve">(3), pp. 179-216. </w:t>
      </w:r>
      <w:hyperlink r:id="Rffac0fee682d403c">
        <w:r w:rsidRPr="067BFEC9" w:rsidR="0AC0D180">
          <w:rPr>
            <w:rStyle w:val="Hyperlink"/>
            <w:b w:val="1"/>
            <w:bCs w:val="1"/>
            <w:i w:val="0"/>
            <w:iCs w:val="0"/>
            <w:caps w:val="0"/>
            <w:smallCaps w:val="0"/>
            <w:strike w:val="0"/>
            <w:dstrike w:val="0"/>
            <w:noProof w:val="0"/>
            <w:color w:val="622567"/>
            <w:u w:val="single"/>
            <w:lang w:val="en-GB"/>
          </w:rPr>
          <w:t>https://so05.tci-thaijo.org/index.php/psujssh/article/view/112658</w:t>
        </w:r>
      </w:hyperlink>
    </w:p>
    <w:p w:rsidR="0AC0D180" w:rsidP="067BFEC9" w:rsidRDefault="0AC0D180" w14:paraId="1F2333DD" w14:textId="1F372559">
      <w:pPr>
        <w:shd w:val="clear" w:color="auto" w:fill="FFFFFF" w:themeFill="background1"/>
        <w:spacing w:before="0" w:beforeAutospacing="off" w:after="240" w:afterAutospacing="off"/>
        <w:jc w:val="left"/>
      </w:pPr>
      <w:r w:rsidRPr="067BFEC9" w:rsidR="0AC0D180">
        <w:rPr>
          <w:rFonts w:ascii="Aptos" w:hAnsi="Aptos" w:eastAsia="Aptos" w:cs="Aptos"/>
          <w:b w:val="0"/>
          <w:bCs w:val="0"/>
          <w:i w:val="0"/>
          <w:iCs w:val="0"/>
          <w:caps w:val="0"/>
          <w:smallCaps w:val="0"/>
          <w:noProof w:val="0"/>
          <w:color w:val="4C5A73"/>
          <w:sz w:val="24"/>
          <w:szCs w:val="24"/>
          <w:lang w:val="en-GB"/>
        </w:rPr>
        <w:t xml:space="preserve">Chester, J., &amp; Montgomery, K. C. (2017). The role of digital marketing in political campaigns. </w:t>
      </w:r>
      <w:r w:rsidRPr="067BFEC9" w:rsidR="0AC0D180">
        <w:rPr>
          <w:rFonts w:ascii="Aptos" w:hAnsi="Aptos" w:eastAsia="Aptos" w:cs="Aptos"/>
          <w:b w:val="0"/>
          <w:bCs w:val="0"/>
          <w:i w:val="1"/>
          <w:iCs w:val="1"/>
          <w:caps w:val="0"/>
          <w:smallCaps w:val="0"/>
          <w:noProof w:val="0"/>
          <w:color w:val="4C5A73"/>
          <w:sz w:val="24"/>
          <w:szCs w:val="24"/>
          <w:lang w:val="en-GB"/>
        </w:rPr>
        <w:t>Internet Policy Review, 6</w:t>
      </w:r>
      <w:r w:rsidRPr="067BFEC9" w:rsidR="0AC0D180">
        <w:rPr>
          <w:rFonts w:ascii="Aptos" w:hAnsi="Aptos" w:eastAsia="Aptos" w:cs="Aptos"/>
          <w:b w:val="0"/>
          <w:bCs w:val="0"/>
          <w:i w:val="0"/>
          <w:iCs w:val="0"/>
          <w:caps w:val="0"/>
          <w:smallCaps w:val="0"/>
          <w:noProof w:val="0"/>
          <w:color w:val="4C5A73"/>
          <w:sz w:val="24"/>
          <w:szCs w:val="24"/>
          <w:lang w:val="en-GB"/>
        </w:rPr>
        <w:t xml:space="preserve">(4), 1-20. </w:t>
      </w:r>
      <w:hyperlink r:id="R57ee5b4871df42bb">
        <w:r w:rsidRPr="067BFEC9" w:rsidR="0AC0D180">
          <w:rPr>
            <w:rStyle w:val="Hyperlink"/>
            <w:b w:val="1"/>
            <w:bCs w:val="1"/>
            <w:i w:val="0"/>
            <w:iCs w:val="0"/>
            <w:caps w:val="0"/>
            <w:smallCaps w:val="0"/>
            <w:strike w:val="0"/>
            <w:dstrike w:val="0"/>
            <w:noProof w:val="0"/>
            <w:color w:val="622567"/>
            <w:u w:val="single"/>
            <w:lang w:val="en-GB"/>
          </w:rPr>
          <w:t>https://hdl.handle.net/10419/214047</w:t>
        </w:r>
      </w:hyperlink>
    </w:p>
    <w:p w:rsidR="0AC0D180" w:rsidP="067BFEC9" w:rsidRDefault="0AC0D180" w14:paraId="1C7AFADD" w14:textId="79FA778A">
      <w:pPr>
        <w:shd w:val="clear" w:color="auto" w:fill="FFFFFF" w:themeFill="background1"/>
        <w:spacing w:before="0" w:beforeAutospacing="off" w:after="240" w:afterAutospacing="off"/>
        <w:jc w:val="left"/>
      </w:pPr>
      <w:r w:rsidRPr="067BFEC9" w:rsidR="0AC0D180">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067BFEC9" w:rsidR="0AC0D180">
        <w:rPr>
          <w:rFonts w:ascii="Aptos" w:hAnsi="Aptos" w:eastAsia="Aptos" w:cs="Aptos"/>
          <w:b w:val="0"/>
          <w:bCs w:val="0"/>
          <w:i w:val="1"/>
          <w:iCs w:val="1"/>
          <w:caps w:val="0"/>
          <w:smallCaps w:val="0"/>
          <w:noProof w:val="0"/>
          <w:color w:val="4C5A73"/>
          <w:sz w:val="24"/>
          <w:szCs w:val="24"/>
          <w:lang w:val="en-GB"/>
        </w:rPr>
        <w:t>Syntax and semantics: Vol. 3</w:t>
      </w:r>
      <w:r w:rsidRPr="067BFEC9" w:rsidR="0AC0D180">
        <w:rPr>
          <w:rFonts w:ascii="Aptos" w:hAnsi="Aptos" w:eastAsia="Aptos" w:cs="Aptos"/>
          <w:b w:val="0"/>
          <w:bCs w:val="0"/>
          <w:i w:val="0"/>
          <w:iCs w:val="0"/>
          <w:caps w:val="0"/>
          <w:smallCaps w:val="0"/>
          <w:noProof w:val="0"/>
          <w:color w:val="4C5A73"/>
          <w:sz w:val="24"/>
          <w:szCs w:val="24"/>
          <w:lang w:val="en-GB"/>
        </w:rPr>
        <w:t>. Speech acts (pp. 41–58). Academic Press.</w:t>
      </w:r>
    </w:p>
    <w:p w:rsidR="0AC0D180" w:rsidP="067BFEC9" w:rsidRDefault="0AC0D180" w14:paraId="7917AD80" w14:textId="33641FFE">
      <w:pPr>
        <w:shd w:val="clear" w:color="auto" w:fill="FFFFFF" w:themeFill="background1"/>
        <w:spacing w:before="0" w:beforeAutospacing="off" w:after="240" w:afterAutospacing="off"/>
        <w:jc w:val="left"/>
      </w:pPr>
      <w:r w:rsidRPr="067BFEC9" w:rsidR="0AC0D180">
        <w:rPr>
          <w:rFonts w:ascii="Aptos" w:hAnsi="Aptos" w:eastAsia="Aptos" w:cs="Aptos"/>
          <w:b w:val="0"/>
          <w:bCs w:val="0"/>
          <w:i w:val="0"/>
          <w:iCs w:val="0"/>
          <w:caps w:val="0"/>
          <w:smallCaps w:val="0"/>
          <w:noProof w:val="0"/>
          <w:color w:val="4C5A73"/>
          <w:sz w:val="24"/>
          <w:szCs w:val="24"/>
          <w:lang w:val="en-GB"/>
        </w:rPr>
        <w:t>Halpern, D. F. (1998). Teaching critical thinking for transfer across domains: Disposition, skills, structure training, and metacognitive monitoring.</w:t>
      </w:r>
      <w:r w:rsidRPr="067BFEC9" w:rsidR="0AC0D180">
        <w:rPr>
          <w:rFonts w:ascii="Aptos" w:hAnsi="Aptos" w:eastAsia="Aptos" w:cs="Aptos"/>
          <w:b w:val="0"/>
          <w:bCs w:val="0"/>
          <w:i w:val="1"/>
          <w:iCs w:val="1"/>
          <w:caps w:val="0"/>
          <w:smallCaps w:val="0"/>
          <w:noProof w:val="0"/>
          <w:color w:val="4C5A73"/>
          <w:sz w:val="24"/>
          <w:szCs w:val="24"/>
          <w:lang w:val="en-GB"/>
        </w:rPr>
        <w:t xml:space="preserve"> American Psychologist, 53</w:t>
      </w:r>
      <w:r w:rsidRPr="067BFEC9" w:rsidR="0AC0D180">
        <w:rPr>
          <w:rFonts w:ascii="Aptos" w:hAnsi="Aptos" w:eastAsia="Aptos" w:cs="Aptos"/>
          <w:b w:val="0"/>
          <w:bCs w:val="0"/>
          <w:i w:val="0"/>
          <w:iCs w:val="0"/>
          <w:caps w:val="0"/>
          <w:smallCaps w:val="0"/>
          <w:noProof w:val="0"/>
          <w:color w:val="4C5A73"/>
          <w:sz w:val="24"/>
          <w:szCs w:val="24"/>
          <w:lang w:val="en-GB"/>
        </w:rPr>
        <w:t xml:space="preserve">(4), 449–455. </w:t>
      </w:r>
      <w:hyperlink r:id="R26cd602a958b4833">
        <w:r w:rsidRPr="067BFEC9" w:rsidR="0AC0D180">
          <w:rPr>
            <w:rStyle w:val="Hyperlink"/>
            <w:b w:val="1"/>
            <w:bCs w:val="1"/>
            <w:i w:val="0"/>
            <w:iCs w:val="0"/>
            <w:caps w:val="0"/>
            <w:smallCaps w:val="0"/>
            <w:strike w:val="0"/>
            <w:dstrike w:val="0"/>
            <w:noProof w:val="0"/>
            <w:color w:val="622567"/>
            <w:u w:val="single"/>
            <w:lang w:val="en-GB"/>
          </w:rPr>
          <w:t>https://doi.org/10.1037/0003-066X.53.4.449</w:t>
        </w:r>
      </w:hyperlink>
    </w:p>
    <w:p w:rsidR="0AC0D180" w:rsidP="067BFEC9" w:rsidRDefault="0AC0D180" w14:paraId="54C73803" w14:textId="3AF222F5">
      <w:pPr>
        <w:shd w:val="clear" w:color="auto" w:fill="FFFFFF" w:themeFill="background1"/>
        <w:spacing w:before="0" w:beforeAutospacing="off" w:after="240" w:afterAutospacing="off"/>
        <w:jc w:val="left"/>
      </w:pPr>
      <w:r w:rsidRPr="067BFEC9" w:rsidR="0AC0D180">
        <w:rPr>
          <w:rFonts w:ascii="Aptos" w:hAnsi="Aptos" w:eastAsia="Aptos" w:cs="Aptos"/>
          <w:b w:val="0"/>
          <w:bCs w:val="0"/>
          <w:i w:val="0"/>
          <w:iCs w:val="0"/>
          <w:caps w:val="0"/>
          <w:smallCaps w:val="0"/>
          <w:noProof w:val="0"/>
          <w:color w:val="4C5A73"/>
          <w:sz w:val="24"/>
          <w:szCs w:val="24"/>
          <w:lang w:val="en-GB"/>
        </w:rPr>
        <w:t xml:space="preserve">Nieto, A. M., &amp; Saiz, C. (2008). Evaluation of Halpern's “structural component” for improving critical thinking. </w:t>
      </w:r>
      <w:r w:rsidRPr="067BFEC9" w:rsidR="0AC0D180">
        <w:rPr>
          <w:rFonts w:ascii="Aptos" w:hAnsi="Aptos" w:eastAsia="Aptos" w:cs="Aptos"/>
          <w:b w:val="0"/>
          <w:bCs w:val="0"/>
          <w:i w:val="1"/>
          <w:iCs w:val="1"/>
          <w:caps w:val="0"/>
          <w:smallCaps w:val="0"/>
          <w:noProof w:val="0"/>
          <w:color w:val="4C5A73"/>
          <w:sz w:val="24"/>
          <w:szCs w:val="24"/>
          <w:lang w:val="en-GB"/>
        </w:rPr>
        <w:t>The Spanish Journal of Psychology, 11</w:t>
      </w:r>
      <w:r w:rsidRPr="067BFEC9" w:rsidR="0AC0D180">
        <w:rPr>
          <w:rFonts w:ascii="Aptos" w:hAnsi="Aptos" w:eastAsia="Aptos" w:cs="Aptos"/>
          <w:b w:val="0"/>
          <w:bCs w:val="0"/>
          <w:i w:val="0"/>
          <w:iCs w:val="0"/>
          <w:caps w:val="0"/>
          <w:smallCaps w:val="0"/>
          <w:noProof w:val="0"/>
          <w:color w:val="4C5A73"/>
          <w:sz w:val="24"/>
          <w:szCs w:val="24"/>
          <w:lang w:val="en-GB"/>
        </w:rPr>
        <w:t xml:space="preserve">(1), 266-274. </w:t>
      </w:r>
      <w:hyperlink r:id="R02e6187a4e5a45b1">
        <w:r w:rsidRPr="067BFEC9" w:rsidR="0AC0D180">
          <w:rPr>
            <w:rStyle w:val="Hyperlink"/>
            <w:b w:val="1"/>
            <w:bCs w:val="1"/>
            <w:i w:val="0"/>
            <w:iCs w:val="0"/>
            <w:caps w:val="0"/>
            <w:smallCaps w:val="0"/>
            <w:strike w:val="0"/>
            <w:dstrike w:val="0"/>
            <w:noProof w:val="0"/>
            <w:color w:val="622567"/>
            <w:u w:val="single"/>
            <w:lang w:val="en-GB"/>
          </w:rPr>
          <w:t>https://doi.org/10.1017/S1138741600004303</w:t>
        </w:r>
      </w:hyperlink>
    </w:p>
    <w:p w:rsidR="0AC0D180" w:rsidP="067BFEC9" w:rsidRDefault="0AC0D180" w14:paraId="6B88D416" w14:textId="239DFBD7">
      <w:pPr>
        <w:shd w:val="clear" w:color="auto" w:fill="FFFFFF" w:themeFill="background1"/>
        <w:spacing w:before="0" w:beforeAutospacing="off" w:after="240" w:afterAutospacing="off"/>
        <w:jc w:val="left"/>
      </w:pPr>
      <w:r w:rsidRPr="067BFEC9" w:rsidR="0AC0D180">
        <w:rPr>
          <w:rFonts w:ascii="Aptos" w:hAnsi="Aptos" w:eastAsia="Aptos" w:cs="Aptos"/>
          <w:b w:val="0"/>
          <w:bCs w:val="0"/>
          <w:i w:val="0"/>
          <w:iCs w:val="0"/>
          <w:caps w:val="0"/>
          <w:smallCaps w:val="0"/>
          <w:noProof w:val="0"/>
          <w:color w:val="4C5A73"/>
          <w:sz w:val="24"/>
          <w:szCs w:val="24"/>
          <w:lang w:val="en-GB"/>
        </w:rPr>
        <w:t xml:space="preserve">Yeboah, J. (2021). The Principles Underlying What is Communicated and not Said: A Cursory Discussion of Grice’s Cooperative Principle and its Maxims. </w:t>
      </w:r>
      <w:r w:rsidRPr="067BFEC9" w:rsidR="0AC0D180">
        <w:rPr>
          <w:rFonts w:ascii="Aptos" w:hAnsi="Aptos" w:eastAsia="Aptos" w:cs="Aptos"/>
          <w:b w:val="0"/>
          <w:bCs w:val="0"/>
          <w:i w:val="1"/>
          <w:iCs w:val="1"/>
          <w:caps w:val="0"/>
          <w:smallCaps w:val="0"/>
          <w:noProof w:val="0"/>
          <w:color w:val="4C5A73"/>
          <w:sz w:val="24"/>
          <w:szCs w:val="24"/>
          <w:lang w:val="en-GB"/>
        </w:rPr>
        <w:t>Journal of English Language Teaching and Applied Linguistics. 3</w:t>
      </w:r>
      <w:r w:rsidRPr="067BFEC9" w:rsidR="0AC0D180">
        <w:rPr>
          <w:rFonts w:ascii="Aptos" w:hAnsi="Aptos" w:eastAsia="Aptos" w:cs="Aptos"/>
          <w:b w:val="0"/>
          <w:bCs w:val="0"/>
          <w:i w:val="0"/>
          <w:iCs w:val="0"/>
          <w:caps w:val="0"/>
          <w:smallCaps w:val="0"/>
          <w:noProof w:val="0"/>
          <w:color w:val="4C5A73"/>
          <w:sz w:val="24"/>
          <w:szCs w:val="24"/>
          <w:lang w:val="en-GB"/>
        </w:rPr>
        <w:t xml:space="preserve">(5),10-17. </w:t>
      </w:r>
      <w:hyperlink r:id="Rc22788b9ece24d3d">
        <w:r w:rsidRPr="067BFEC9" w:rsidR="0AC0D180">
          <w:rPr>
            <w:rStyle w:val="Hyperlink"/>
            <w:b w:val="1"/>
            <w:bCs w:val="1"/>
            <w:i w:val="0"/>
            <w:iCs w:val="0"/>
            <w:caps w:val="0"/>
            <w:smallCaps w:val="0"/>
            <w:strike w:val="0"/>
            <w:dstrike w:val="0"/>
            <w:noProof w:val="0"/>
            <w:color w:val="622567"/>
            <w:u w:val="single"/>
            <w:lang w:val="en-GB"/>
          </w:rPr>
          <w:t>https://doi.org/10.32996/jeltal.2021.3.5.2</w:t>
        </w:r>
      </w:hyperlink>
    </w:p>
    <w:p w:rsidR="067BFEC9" w:rsidP="067BFEC9" w:rsidRDefault="067BFEC9" w14:paraId="4BC388A3" w14:textId="313626B6">
      <w:pPr>
        <w:shd w:val="clear" w:color="auto" w:fill="FFFFFF" w:themeFill="background1"/>
        <w:spacing w:before="0" w:beforeAutospacing="off" w:after="0" w:afterAutospacing="off"/>
        <w:jc w:val="left"/>
      </w:pPr>
      <w:r>
        <w:br/>
      </w:r>
      <w:r w:rsidR="357C7DB9">
        <w:rPr/>
        <w:t>Informal Posts (multiple):</w:t>
      </w:r>
      <w:r>
        <w:br/>
      </w:r>
      <w:r>
        <w:br/>
      </w:r>
      <w:r>
        <w:br/>
      </w:r>
      <w:r w:rsidRPr="067BFEC9" w:rsidR="07139ACB">
        <w:rPr>
          <w:rFonts w:ascii="Aptos" w:hAnsi="Aptos" w:eastAsia="Aptos" w:cs="Aptos"/>
          <w:b w:val="0"/>
          <w:bCs w:val="0"/>
          <w:i w:val="0"/>
          <w:iCs w:val="0"/>
          <w:caps w:val="0"/>
          <w:smallCaps w:val="0"/>
          <w:noProof w:val="0"/>
          <w:color w:val="4C5A73"/>
          <w:sz w:val="24"/>
          <w:szCs w:val="24"/>
          <w:lang w:val="en-GB"/>
        </w:rPr>
        <w:t>Thank you for your post, Gemma. I agree that personalised political messages are often designed to influence voters’ choices rather than to facilitate informed decision-making. This approach raises concerns regarding Grice’s maxim of quantity. While audience targeting can fulfill the maxim of relation by ensuring communication is relevant to specific interests, providing different information to separate voter groups may reduce transparency and limit awareness of broader political discourse. I also question whether emotionally persuasive or selectively framed claims might compromise quality, particularly when supporting evidence is omitted, exaggerated, or presented inaccurately. Grice (1975) emphasised the necessity of providing information that is both truthful and sufficiently supported. This leads me to ask: if relevant evidence is intentionally excluded, could this omission also undermine the maxim of relation by altering the audience’s understanding of the message?</w:t>
      </w:r>
    </w:p>
    <w:p w:rsidR="067BFEC9" w:rsidP="067BFEC9" w:rsidRDefault="067BFEC9" w14:paraId="379CFE72" w14:textId="74EEE940">
      <w:pPr>
        <w:shd w:val="clear" w:color="auto" w:fill="FFFFFF" w:themeFill="background1"/>
        <w:spacing w:before="0" w:beforeAutospacing="off" w:after="0" w:afterAutospacing="off"/>
        <w:jc w:val="left"/>
      </w:pPr>
    </w:p>
    <w:p w:rsidR="067BFEC9" w:rsidP="067BFEC9" w:rsidRDefault="067BFEC9" w14:paraId="3024CE9E" w14:textId="65389662">
      <w:pPr>
        <w:shd w:val="clear" w:color="auto" w:fill="FFFFFF" w:themeFill="background1"/>
        <w:spacing w:before="0" w:beforeAutospacing="off" w:after="0" w:afterAutospacing="off"/>
        <w:jc w:val="left"/>
      </w:pPr>
    </w:p>
    <w:p w:rsidR="067BFEC9" w:rsidP="067BFEC9" w:rsidRDefault="067BFEC9" w14:paraId="0DE078C4" w14:textId="3776CCED">
      <w:pPr>
        <w:shd w:val="clear" w:color="auto" w:fill="FFFFFF" w:themeFill="background1"/>
        <w:spacing w:before="0" w:beforeAutospacing="off" w:after="0" w:afterAutospacing="off"/>
        <w:jc w:val="left"/>
      </w:pPr>
    </w:p>
    <w:p w:rsidR="07139ACB" w:rsidP="067BFEC9" w:rsidRDefault="07139ACB" w14:paraId="61942621" w14:textId="441BCACB">
      <w:pPr>
        <w:shd w:val="clear" w:color="auto" w:fill="FFFFFF" w:themeFill="background1"/>
        <w:spacing w:before="0" w:beforeAutospacing="off" w:after="0" w:afterAutospacing="off"/>
        <w:jc w:val="left"/>
      </w:pPr>
      <w:r w:rsidRPr="067BFEC9" w:rsidR="07139ACB">
        <w:rPr>
          <w:rFonts w:ascii="Aptos" w:hAnsi="Aptos" w:eastAsia="Aptos" w:cs="Aptos"/>
          <w:b w:val="0"/>
          <w:bCs w:val="0"/>
          <w:i w:val="0"/>
          <w:iCs w:val="0"/>
          <w:caps w:val="0"/>
          <w:smallCaps w:val="0"/>
          <w:noProof w:val="0"/>
          <w:color w:val="4C5A73"/>
          <w:sz w:val="24"/>
          <w:szCs w:val="24"/>
          <w:lang w:val="en-GB"/>
        </w:rPr>
        <w:t>Reference</w:t>
      </w:r>
    </w:p>
    <w:p w:rsidR="067BFEC9" w:rsidP="067BFEC9" w:rsidRDefault="067BFEC9" w14:paraId="4D3813B2" w14:textId="2E8545E4">
      <w:pPr>
        <w:shd w:val="clear" w:color="auto" w:fill="FFFFFF" w:themeFill="background1"/>
        <w:spacing w:before="0" w:beforeAutospacing="off" w:after="0" w:afterAutospacing="off"/>
        <w:jc w:val="left"/>
      </w:pPr>
    </w:p>
    <w:p w:rsidR="07139ACB" w:rsidP="067BFEC9" w:rsidRDefault="07139ACB" w14:paraId="683F928B" w14:textId="435C7F52">
      <w:pPr>
        <w:shd w:val="clear" w:color="auto" w:fill="FFFFFF" w:themeFill="background1"/>
        <w:spacing w:before="0" w:beforeAutospacing="off" w:after="0" w:afterAutospacing="off"/>
        <w:jc w:val="left"/>
      </w:pPr>
      <w:r w:rsidRPr="067BFEC9" w:rsidR="07139ACB">
        <w:rPr>
          <w:rFonts w:ascii="Aptos" w:hAnsi="Aptos" w:eastAsia="Aptos" w:cs="Aptos"/>
          <w:b w:val="0"/>
          <w:bCs w:val="0"/>
          <w:i w:val="0"/>
          <w:iCs w:val="0"/>
          <w:caps w:val="0"/>
          <w:smallCaps w:val="0"/>
          <w:noProof w:val="0"/>
          <w:color w:val="4C5A73"/>
          <w:sz w:val="24"/>
          <w:szCs w:val="24"/>
          <w:lang w:val="en-GB"/>
        </w:rPr>
        <w:t>Grice, H. P. (1975). Logic and conversation. In P. Cole &amp; J. L. Morgan (Eds.), Syntax and semantics: Vol. 3. Speech acts(pp. 41–58). Academic Press.</w:t>
      </w:r>
    </w:p>
    <w:p w:rsidR="067BFEC9" w:rsidRDefault="067BFEC9" w14:paraId="4AD3F9FE" w14:textId="45D4710F">
      <w:r>
        <w:br/>
      </w:r>
      <w:r w:rsidR="125DCD76">
        <w:rPr/>
        <w:t>--</w:t>
      </w:r>
      <w:r>
        <w:br/>
      </w:r>
      <w:r>
        <w:br/>
      </w:r>
    </w:p>
    <w:p w:rsidR="524E407D" w:rsidP="067BFEC9" w:rsidRDefault="524E407D" w14:paraId="4D559FE9" w14:textId="0C3A6FBA">
      <w:pPr>
        <w:pStyle w:val="Normal"/>
        <w:rPr>
          <w:rFonts w:ascii="Aptos" w:hAnsi="Aptos" w:eastAsia="Aptos" w:cs="Aptos"/>
          <w:b w:val="0"/>
          <w:bCs w:val="0"/>
          <w:i w:val="0"/>
          <w:iCs w:val="0"/>
          <w:caps w:val="0"/>
          <w:smallCaps w:val="0"/>
          <w:noProof w:val="0"/>
          <w:color w:val="4C5A73"/>
          <w:sz w:val="24"/>
          <w:szCs w:val="24"/>
          <w:lang w:val="en-GB"/>
        </w:rPr>
      </w:pPr>
      <w:r w:rsidRPr="067BFEC9" w:rsidR="524E407D">
        <w:rPr>
          <w:rFonts w:ascii="Aptos" w:hAnsi="Aptos" w:eastAsia="Aptos" w:cs="Aptos"/>
          <w:b w:val="0"/>
          <w:bCs w:val="0"/>
          <w:i w:val="0"/>
          <w:iCs w:val="0"/>
          <w:caps w:val="0"/>
          <w:smallCaps w:val="0"/>
          <w:noProof w:val="0"/>
          <w:color w:val="4C5A73"/>
          <w:sz w:val="24"/>
          <w:szCs w:val="24"/>
          <w:lang w:val="en-GB"/>
        </w:rPr>
        <w:t>Informal Response</w:t>
      </w:r>
      <w:r>
        <w:br/>
      </w:r>
      <w:r>
        <w:br/>
      </w:r>
      <w:r w:rsidRPr="067BFEC9" w:rsidR="524E407D">
        <w:rPr>
          <w:rFonts w:ascii="Aptos" w:hAnsi="Aptos" w:eastAsia="Aptos" w:cs="Aptos"/>
          <w:b w:val="0"/>
          <w:bCs w:val="0"/>
          <w:i w:val="0"/>
          <w:iCs w:val="0"/>
          <w:caps w:val="0"/>
          <w:smallCaps w:val="0"/>
          <w:noProof w:val="0"/>
          <w:color w:val="4C5A73"/>
          <w:sz w:val="24"/>
          <w:szCs w:val="24"/>
          <w:lang w:val="en-GB"/>
        </w:rPr>
        <w:t xml:space="preserve">I appreciate your feedback, Rosheen, especially the question you raise about whether a political message should be considered cooperative if it is truthful and </w:t>
      </w:r>
      <w:r w:rsidRPr="067BFEC9" w:rsidR="524E407D">
        <w:rPr>
          <w:rFonts w:ascii="Aptos" w:hAnsi="Aptos" w:eastAsia="Aptos" w:cs="Aptos"/>
          <w:b w:val="0"/>
          <w:bCs w:val="0"/>
          <w:i w:val="0"/>
          <w:iCs w:val="0"/>
          <w:caps w:val="0"/>
          <w:smallCaps w:val="0"/>
          <w:noProof w:val="0"/>
          <w:color w:val="4C5A73"/>
          <w:sz w:val="24"/>
          <w:szCs w:val="24"/>
          <w:lang w:val="en-GB"/>
        </w:rPr>
        <w:t>clear, yet</w:t>
      </w:r>
      <w:r w:rsidRPr="067BFEC9" w:rsidR="524E407D">
        <w:rPr>
          <w:rFonts w:ascii="Aptos" w:hAnsi="Aptos" w:eastAsia="Aptos" w:cs="Aptos"/>
          <w:b w:val="0"/>
          <w:bCs w:val="0"/>
          <w:i w:val="0"/>
          <w:iCs w:val="0"/>
          <w:caps w:val="0"/>
          <w:smallCaps w:val="0"/>
          <w:noProof w:val="0"/>
          <w:color w:val="4C5A73"/>
          <w:sz w:val="24"/>
          <w:szCs w:val="24"/>
          <w:lang w:val="en-GB"/>
        </w:rPr>
        <w:t xml:space="preserve"> deliberately designed to exploit cognitive processes such as fluency. Being aware of how presentation influences judgment can help individuals differentiate between information that is genuinely informative and information that is primarily designed to persuade. This also raises an interesting question about whether satisfying individual Gricean maxims is sufficient for communication to be genuinely cooperative.</w:t>
      </w:r>
      <w:r>
        <w:br/>
      </w:r>
      <w:r>
        <w:br/>
      </w:r>
    </w:p>
    <w:p w:rsidR="30B3CF5B" w:rsidP="067BFEC9" w:rsidRDefault="30B3CF5B" w14:paraId="44D05505" w14:textId="2808B518">
      <w:pPr>
        <w:pStyle w:val="Normal"/>
        <w:pBdr>
          <w:bottom w:val="single" w:color="000000" w:sz="6" w:space="1"/>
        </w:pBdr>
      </w:pPr>
      <w:r w:rsidRPr="067BFEC9" w:rsidR="30B3CF5B">
        <w:rPr>
          <w:rFonts w:ascii="Aptos" w:hAnsi="Aptos" w:eastAsia="Aptos" w:cs="Aptos"/>
          <w:b w:val="0"/>
          <w:bCs w:val="0"/>
          <w:i w:val="0"/>
          <w:iCs w:val="0"/>
          <w:caps w:val="0"/>
          <w:smallCaps w:val="0"/>
          <w:noProof w:val="0"/>
          <w:color w:val="4C5A73"/>
          <w:sz w:val="24"/>
          <w:szCs w:val="24"/>
          <w:lang w:val="en-GB"/>
        </w:rPr>
        <w:t>Informal Response</w:t>
      </w:r>
      <w:r>
        <w:br/>
      </w:r>
      <w:r>
        <w:br/>
      </w:r>
      <w:r w:rsidRPr="067BFEC9" w:rsidR="30B3CF5B">
        <w:rPr>
          <w:rFonts w:ascii="Aptos" w:hAnsi="Aptos" w:eastAsia="Aptos" w:cs="Aptos"/>
          <w:b w:val="0"/>
          <w:bCs w:val="0"/>
          <w:i w:val="0"/>
          <w:iCs w:val="0"/>
          <w:caps w:val="0"/>
          <w:smallCaps w:val="0"/>
          <w:noProof w:val="0"/>
          <w:color w:val="4C5A73"/>
          <w:sz w:val="24"/>
          <w:szCs w:val="24"/>
          <w:lang w:val="en-GB"/>
        </w:rPr>
        <w:t>Thank you for your thoughtful feedback, Sharon. I agree that agencies can apply critical thinking when developing communications; however, they may also limit the audience’s ability to engage in similar reasoning. Your final question prompted further reflection. I believe this highlights the importance of examining critical thinking and cooperative communication together. To effectively evaluate political discourse, it is necessary to consider the interaction between these two elements rather than assessing each in isolation.</w:t>
      </w:r>
      <w:r>
        <w:br/>
      </w:r>
      <w:r>
        <w:br/>
      </w:r>
      <w:r w:rsidRPr="067BFEC9" w:rsidR="184F1C42">
        <w:rPr>
          <w:rFonts w:ascii="Aptos" w:hAnsi="Aptos" w:eastAsia="Aptos" w:cs="Aptos"/>
          <w:b w:val="0"/>
          <w:bCs w:val="0"/>
          <w:i w:val="0"/>
          <w:iCs w:val="0"/>
          <w:caps w:val="0"/>
          <w:smallCaps w:val="0"/>
          <w:noProof w:val="0"/>
          <w:color w:val="4C5A73"/>
          <w:sz w:val="24"/>
          <w:szCs w:val="24"/>
          <w:lang w:val="en-GB"/>
        </w:rPr>
        <w:t>--</w:t>
      </w:r>
      <w:r>
        <w:br/>
      </w:r>
      <w:r>
        <w:br/>
      </w:r>
      <w:r>
        <w:br/>
      </w:r>
    </w:p>
    <w:sectPr w:rsidR="00277228">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0B5392"/>
    <w:rsid w:val="00277228"/>
    <w:rsid w:val="006A6853"/>
    <w:rsid w:val="067BFEC9"/>
    <w:rsid w:val="07139ACB"/>
    <w:rsid w:val="0AC0D180"/>
    <w:rsid w:val="125DCD76"/>
    <w:rsid w:val="170B5392"/>
    <w:rsid w:val="17D528A2"/>
    <w:rsid w:val="184F1C42"/>
    <w:rsid w:val="1F805D7E"/>
    <w:rsid w:val="30B3CF5B"/>
    <w:rsid w:val="357C7DB9"/>
    <w:rsid w:val="3D3D0C18"/>
    <w:rsid w:val="4246B291"/>
    <w:rsid w:val="42A4EAAA"/>
    <w:rsid w:val="4DFD252D"/>
    <w:rsid w:val="524E407D"/>
    <w:rsid w:val="57F3F313"/>
    <w:rsid w:val="750EB9F9"/>
    <w:rsid w:val="79BA95F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56D8"/>
  <w15:chartTrackingRefBased/>
  <w15:docId w15:val="{4C0B331E-305B-456E-84CE-73106203F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67BFEC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mea01.safelinks.protection.outlook.com/?url=https%3A%2F%2Fsearchengineland.com%2Faimclears-psychographic-targeting-for-political-advertising-agencies-wins-237290&amp;data=05%7C02%7C%7C948d0ee1c88a4043cb9908defaddf059%7C84df9e7fe9f640afb435aaaaaaaaaaaa%7C1%7C0%7C639224028271932043%7CUnknown%7CTWFpbGZsb3d8eyJFbXB0eU1hcGkiOnRydWUsIlYiOiIwLjAuMDAwMCIsIlAiOiJXaW4zMiIsIkFOIjoiTWFpbCIsIldUIjoyfQ%3D%3D%7C0%7C%7C%7C&amp;sdata=NEUIrq4KdQPywH%2Fp%2FlUy2ywjbN8TIkQk%2Fy01TNTmQfA%3D&amp;reserved=0" TargetMode="External" Id="Rcc682d83060c4d13" /><Relationship Type="http://schemas.openxmlformats.org/officeDocument/2006/relationships/hyperlink" Target="https://doi.org/10.1002/acp.2851" TargetMode="External" Id="Rb194b546a9bf44f2" /><Relationship Type="http://schemas.openxmlformats.org/officeDocument/2006/relationships/hyperlink" Target="https://doi.org/10.3390/jintelligence11100194" TargetMode="External" Id="R83355479adae4829" /><Relationship Type="http://schemas.openxmlformats.org/officeDocument/2006/relationships/hyperlink" Target="https://doi.org/10.1037/0003-066X.53.4.449" TargetMode="External" Id="R2106e5da645f4a41" /><Relationship Type="http://schemas.openxmlformats.org/officeDocument/2006/relationships/hyperlink" Target="https://doi.org/10.5281/zenodo.20669272" TargetMode="External" Id="Rc9cc6753154a42f3" /><Relationship Type="http://schemas.openxmlformats.org/officeDocument/2006/relationships/hyperlink" Target="https://emea01.safelinks.protection.outlook.com/?url=https%3A%2F%2Fdoi.org%2F10.3102%2F0034654314551063&amp;data=05%7C02%7C%7C602ff6c4e96a4489e20908defd629e6a%7C84df9e7fe9f640afb435aaaaaaaaaaaa%7C1%7C0%7C639226797153793595%7CUnknown%7CTWFpbGZsb3d8eyJFbXB0eU1hcGkiOnRydWUsIlYiOiIwLjAuMDAwMCIsIlAiOiJXaW4zMiIsIkFOIjoiTWFpbCIsIldUIjoyfQ%3D%3D%7C0%7C%7C%7C&amp;sdata=rwZTqkBmorZp9VxRNAaZqifnQDOk2%2FcScAWOyFe3rq4%3D&amp;reserved=0" TargetMode="External" Id="R8806ae631c4f4785" /><Relationship Type="http://schemas.openxmlformats.org/officeDocument/2006/relationships/hyperlink" Target="https://doi.org/10.1002/rev3.7000" TargetMode="External" Id="R6b768138d7a4464c" /><Relationship Type="http://schemas.openxmlformats.org/officeDocument/2006/relationships/hyperlink" Target="https://doi.org/10.5840/inquiryct201328315" TargetMode="External" Id="Rbca4ee864264421e" /><Relationship Type="http://schemas.openxmlformats.org/officeDocument/2006/relationships/hyperlink" Target="https://doi.org/10.5840/INQUIRYCT201328313" TargetMode="External" Id="R87999acbf046483e" /><Relationship Type="http://schemas.openxmlformats.org/officeDocument/2006/relationships/hyperlink" Target="https://so05.tci-thaijo.org/index.php/psujssh/article/view/112658" TargetMode="External" Id="Rffac0fee682d403c" /><Relationship Type="http://schemas.openxmlformats.org/officeDocument/2006/relationships/hyperlink" Target="https://hdl.handle.net/10419/214047" TargetMode="External" Id="R57ee5b4871df42bb" /><Relationship Type="http://schemas.openxmlformats.org/officeDocument/2006/relationships/hyperlink" Target="https://doi.org/10.1037/0003-066X.53.4.449" TargetMode="External" Id="R26cd602a958b4833" /><Relationship Type="http://schemas.openxmlformats.org/officeDocument/2006/relationships/hyperlink" Target="https://doi.org/10.1017/S1138741600004303" TargetMode="External" Id="R02e6187a4e5a45b1" /><Relationship Type="http://schemas.openxmlformats.org/officeDocument/2006/relationships/hyperlink" Target="https://doi.org/10.32996/jeltal.2021.3.5.2" TargetMode="External" Id="Rc22788b9ece24d3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3</revision>
  <dcterms:created xsi:type="dcterms:W3CDTF">2026-08-28T11:21:00.0000000Z</dcterms:created>
  <dcterms:modified xsi:type="dcterms:W3CDTF">2026-08-28T11:25:10.6002786Z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2026-08-28T11:21:15Z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e34c40c7-579c-47b1-a51d-b5ab7a009900</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