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3793" w:rsidP="6167684E" w:rsidRDefault="003B3793" w14:paraId="5E5787A5" w14:textId="66510C5C">
      <w:pPr>
        <w:pStyle w:val="Normal"/>
      </w:pPr>
      <w:r>
        <w:br/>
      </w:r>
      <w:hyperlink r:id="R8818080db5b54849">
        <w:r w:rsidRPr="6167684E" w:rsidR="57741F53">
          <w:rPr>
            <w:rStyle w:val="Hyperlink"/>
            <w:b w:val="0"/>
            <w:bCs w:val="0"/>
            <w:i w:val="0"/>
            <w:iCs w:val="0"/>
            <w:caps w:val="0"/>
            <w:smallCaps w:val="0"/>
            <w:strike w:val="0"/>
            <w:dstrike w:val="0"/>
            <w:noProof w:val="0"/>
            <w:color w:val="CD202C"/>
            <w:u w:val="single"/>
            <w:lang w:val="en-GB"/>
          </w:rPr>
          <w:t>Gemma Dodds</w:t>
        </w:r>
      </w:hyperlink>
    </w:p>
    <w:p w:rsidR="6167684E" w:rsidP="6167684E" w:rsidRDefault="6167684E" w14:paraId="71054E16" w14:textId="6C53AEA5">
      <w:pPr>
        <w:pStyle w:val="Normal"/>
        <w:rPr>
          <w:b w:val="0"/>
          <w:bCs w:val="0"/>
          <w:i w:val="0"/>
          <w:iCs w:val="0"/>
          <w:caps w:val="0"/>
          <w:smallCaps w:val="0"/>
          <w:strike w:val="0"/>
          <w:dstrike w:val="0"/>
          <w:noProof w:val="0"/>
          <w:color w:val="CD202C"/>
          <w:u w:val="single"/>
          <w:lang w:val="en-GB"/>
        </w:rPr>
      </w:pPr>
    </w:p>
    <w:p w:rsidR="57741F53" w:rsidP="6167684E" w:rsidRDefault="57741F53" w14:paraId="0168B60E" w14:textId="40F5C97B">
      <w:pPr>
        <w:pStyle w:val="Normal"/>
        <w:shd w:val="clear" w:color="auto" w:fill="FFFFFF" w:themeFill="background1"/>
        <w:spacing w:before="0" w:beforeAutospacing="off" w:after="240" w:afterAutospacing="off"/>
        <w:jc w:val="left"/>
        <w:rPr>
          <w:b w:val="0"/>
          <w:bCs w:val="0"/>
          <w:i w:val="0"/>
          <w:iCs w:val="0"/>
          <w:caps w:val="0"/>
          <w:smallCaps w:val="0"/>
          <w:strike w:val="0"/>
          <w:dstrike w:val="0"/>
          <w:noProof w:val="0"/>
          <w:color w:val="CD202C"/>
          <w:u w:val="single"/>
          <w:lang w:val="en-GB"/>
        </w:rPr>
      </w:pPr>
      <w:r w:rsidRPr="6167684E" w:rsidR="57741F53">
        <w:rPr>
          <w:b w:val="0"/>
          <w:bCs w:val="0"/>
          <w:i w:val="0"/>
          <w:iCs w:val="0"/>
          <w:caps w:val="0"/>
          <w:smallCaps w:val="0"/>
          <w:strike w:val="0"/>
          <w:dstrike w:val="0"/>
          <w:noProof w:val="0"/>
          <w:color w:val="CD202C"/>
          <w:u w:val="single"/>
          <w:lang w:val="en-GB"/>
        </w:rPr>
        <w:t>Initial Post:</w:t>
      </w:r>
      <w:r>
        <w:br/>
      </w:r>
      <w:r>
        <w:br/>
      </w:r>
    </w:p>
    <w:p w:rsidR="78243202" w:rsidP="6167684E" w:rsidRDefault="78243202" w14:paraId="1E3407CD" w14:textId="01F300E6">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Psychographic targeting demonstrates how political campaigning has increasingly adopted techniques traditionally associated with marketing. It involves building profiles of online users based on their interests, behaviours, and personality, allowing campaigns to deliver content tailored to individuals. This approach aims to increase political persuasion and has raised concerns about its potential influence on voters and electoral integrity (Zarouali et al., 2023).</w:t>
      </w:r>
    </w:p>
    <w:p w:rsidR="78243202" w:rsidP="6167684E" w:rsidRDefault="78243202" w14:paraId="285C052B" w14:textId="71231D92">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aimClear (2015) details how political campaigns can combine demographic, behavioural and psychographic data to identify voters and develop messages based on their interests, values and characteristics. Campaigns can use Facebook data, lookalike audiences and users’ interests to deliver targeted political messages. While this may make communication feel more personally relevant, it also raises questions about whether targeted messaging aligns with Grice’s (1975) Cooperative Principle.</w:t>
      </w:r>
    </w:p>
    <w:p w:rsidR="78243202" w:rsidP="6167684E" w:rsidRDefault="78243202" w14:paraId="4787429F" w14:textId="67542FE3">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Grice (1975) proposed four conversational maxims to guide effective communication: quantity, providing an appropriate amount of information; quality, ensuring information is truthful and supported by evidence; relation, ensuring communication is relevant; and manner, communicating clearly and avoiding unnecessary ambiguity (Grice, 1975). Psychographic political advertising may create conflict with these principles. Personalised messages may provide voters with information selected to influence their decisions rather than allowing them to make fully informed decisions, potentially challenging the maxim of quantity. Similarly, emotionally persuasive or selectively presented claims may conflict the maxim of quality if relevant evidence is omitted, exaggerated or distorted. While targeting can satisfy the maxim of relation by making messages relevant to an individual’s interests, communicating different messages to different groups can reduce transparency and make it difficult for voters to know what others are being told. Therefore, although psychographic targeting does not automatically violate Grice’s Cooperative Principle, its selective and personalised nature can create tension between political persuasion and open communication.</w:t>
      </w:r>
    </w:p>
    <w:p w:rsidR="78243202" w:rsidP="6167684E" w:rsidRDefault="78243202" w14:paraId="0CF3E4A7" w14:textId="65AFC088">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Halpern’s (1998) model of critical thinking provides a useful framework for considering how agencies might develop political campaigns responsibly. Critical thinking involves deliberately applying cognitive skills and strategies to reach an appropriate outcome. In practice, this could involve evaluating the reliability of evidence, identifying assumptions and biases, considering alternative interpretations and anticipating how different messages might influence audiences.</w:t>
      </w:r>
    </w:p>
    <w:p w:rsidR="78243202" w:rsidP="6167684E" w:rsidRDefault="78243202" w14:paraId="7E576582" w14:textId="6CDFA889">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Research suggests that critical-thinking skills can be developed through instruction and practice. Abrami et al. (2015) conducted a large meta-analysis examining 341 effect sizes and found that instructional approaches can improve critical-thinking skills and dispositions. Political advertising agencies could apply this by encouraging campaign teams to evaluate proposed advertisements, challenge the evidence supporting political claims, and consider whether targeting strategies could mislead or manipulate specific groups.</w:t>
      </w:r>
    </w:p>
    <w:p w:rsidR="78243202" w:rsidP="6167684E" w:rsidRDefault="78243202" w14:paraId="3E186D71" w14:textId="13383F13">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Grice’s (1975) cooperative principle is useful for applying critical thinking in political advertising. Grice’s (1975) maxims encourage communication that is truthful, relevant, sufficiently informative and clear.  However, due to political advertising being designed to ultimately persuade voters, ongoing tension exists between effective persuasion and cooperative communication.</w:t>
      </w:r>
    </w:p>
    <w:p w:rsidR="78243202" w:rsidP="6167684E" w:rsidRDefault="78243202" w14:paraId="187CEB7F" w14:textId="4B1D5144">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In conclusion, psychographic targeting highlights the challenges of balancing political persuasion and transparent communication. Halpern’s (1998) framework provides practical ways for agencies to evaluate evidence, assumptions and consequences of their campaign strategies. Although critical thinking can be strengthened through instruction and practice (Abrami et al., 2015), it is most valuable when ensuring that political communication remains truthful, relevant, sufficiently informative and transparent.</w:t>
      </w:r>
    </w:p>
    <w:p w:rsidR="78243202" w:rsidP="6167684E" w:rsidRDefault="78243202" w14:paraId="66F943B6" w14:textId="799018EE">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References</w:t>
      </w:r>
    </w:p>
    <w:p w:rsidR="78243202" w:rsidP="6167684E" w:rsidRDefault="78243202" w14:paraId="4A127ACE" w14:textId="6EE27E51">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(2014). Strategies for teaching students to think critically. </w:t>
      </w:r>
      <w:r w:rsidRPr="6167684E" w:rsidR="78243202">
        <w:rPr>
          <w:rFonts w:ascii="Aptos" w:hAnsi="Aptos" w:eastAsia="Aptos" w:cs="Aptos"/>
          <w:b w:val="0"/>
          <w:bCs w:val="0"/>
          <w:i w:val="1"/>
          <w:iCs w:val="1"/>
          <w:caps w:val="0"/>
          <w:smallCaps w:val="0"/>
          <w:noProof w:val="0"/>
          <w:color w:val="4C5A73"/>
          <w:sz w:val="24"/>
          <w:szCs w:val="24"/>
          <w:lang w:val="en-GB"/>
        </w:rPr>
        <w:t>Review of Educational Research</w:t>
      </w:r>
      <w:r w:rsidRPr="6167684E" w:rsidR="78243202">
        <w:rPr>
          <w:rFonts w:ascii="Aptos" w:hAnsi="Aptos" w:eastAsia="Aptos" w:cs="Aptos"/>
          <w:b w:val="0"/>
          <w:bCs w:val="0"/>
          <w:i w:val="0"/>
          <w:iCs w:val="0"/>
          <w:caps w:val="0"/>
          <w:smallCaps w:val="0"/>
          <w:noProof w:val="0"/>
          <w:color w:val="4C5A73"/>
          <w:sz w:val="24"/>
          <w:szCs w:val="24"/>
          <w:lang w:val="en-GB"/>
        </w:rPr>
        <w:t xml:space="preserve">, </w:t>
      </w:r>
      <w:r w:rsidRPr="6167684E" w:rsidR="78243202">
        <w:rPr>
          <w:rFonts w:ascii="Aptos" w:hAnsi="Aptos" w:eastAsia="Aptos" w:cs="Aptos"/>
          <w:b w:val="0"/>
          <w:bCs w:val="0"/>
          <w:i w:val="1"/>
          <w:iCs w:val="1"/>
          <w:caps w:val="0"/>
          <w:smallCaps w:val="0"/>
          <w:noProof w:val="0"/>
          <w:color w:val="4C5A73"/>
          <w:sz w:val="24"/>
          <w:szCs w:val="24"/>
          <w:lang w:val="en-GB"/>
        </w:rPr>
        <w:t>85</w:t>
      </w:r>
      <w:r w:rsidRPr="6167684E" w:rsidR="78243202">
        <w:rPr>
          <w:rFonts w:ascii="Aptos" w:hAnsi="Aptos" w:eastAsia="Aptos" w:cs="Aptos"/>
          <w:b w:val="0"/>
          <w:bCs w:val="0"/>
          <w:i w:val="0"/>
          <w:iCs w:val="0"/>
          <w:caps w:val="0"/>
          <w:smallCaps w:val="0"/>
          <w:noProof w:val="0"/>
          <w:color w:val="4C5A73"/>
          <w:sz w:val="24"/>
          <w:szCs w:val="24"/>
          <w:lang w:val="en-GB"/>
        </w:rPr>
        <w:t xml:space="preserve">(2), 275–314. </w:t>
      </w:r>
      <w:hyperlink r:id="R6020d7faa198404e">
        <w:r w:rsidRPr="6167684E" w:rsidR="78243202">
          <w:rPr>
            <w:rStyle w:val="Hyperlink"/>
            <w:b w:val="1"/>
            <w:bCs w:val="1"/>
            <w:i w:val="0"/>
            <w:iCs w:val="0"/>
            <w:caps w:val="0"/>
            <w:smallCaps w:val="0"/>
            <w:strike w:val="0"/>
            <w:dstrike w:val="0"/>
            <w:noProof w:val="0"/>
            <w:color w:val="622567"/>
            <w:u w:val="single"/>
            <w:lang w:val="en-GB"/>
          </w:rPr>
          <w:t>https://doi.org/10.3102/0034654314551063</w:t>
        </w:r>
      </w:hyperlink>
    </w:p>
    <w:p w:rsidR="78243202" w:rsidP="6167684E" w:rsidRDefault="78243202" w14:paraId="6A009639" w14:textId="16753809">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 xml:space="preserve">aimClear, S. C. (2015). aimClear’s Psychographic Targeting for Political Advertising Agencies” WINS. In </w:t>
      </w:r>
      <w:r w:rsidRPr="6167684E" w:rsidR="78243202">
        <w:rPr>
          <w:rFonts w:ascii="Aptos" w:hAnsi="Aptos" w:eastAsia="Aptos" w:cs="Aptos"/>
          <w:b w:val="0"/>
          <w:bCs w:val="0"/>
          <w:i w:val="1"/>
          <w:iCs w:val="1"/>
          <w:caps w:val="0"/>
          <w:smallCaps w:val="0"/>
          <w:noProof w:val="0"/>
          <w:color w:val="4C5A73"/>
          <w:sz w:val="24"/>
          <w:szCs w:val="24"/>
          <w:lang w:val="en-GB"/>
        </w:rPr>
        <w:t>Search Engine Land</w:t>
      </w:r>
      <w:r w:rsidRPr="6167684E" w:rsidR="78243202">
        <w:rPr>
          <w:rFonts w:ascii="Aptos" w:hAnsi="Aptos" w:eastAsia="Aptos" w:cs="Aptos"/>
          <w:b w:val="0"/>
          <w:bCs w:val="0"/>
          <w:i w:val="0"/>
          <w:iCs w:val="0"/>
          <w:caps w:val="0"/>
          <w:smallCaps w:val="0"/>
          <w:noProof w:val="0"/>
          <w:color w:val="4C5A73"/>
          <w:sz w:val="24"/>
          <w:szCs w:val="24"/>
          <w:lang w:val="en-GB"/>
        </w:rPr>
        <w:t xml:space="preserve">. </w:t>
      </w:r>
      <w:hyperlink r:id="Rb74bdcb8a9254472">
        <w:r w:rsidRPr="6167684E" w:rsidR="78243202">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78243202" w:rsidP="6167684E" w:rsidRDefault="78243202" w14:paraId="4562140F" w14:textId="56673FB3">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 xml:space="preserve">Grice, H. P. (1975). 'Logic and conversation'. In P. Cole and J. Morgan (eds) </w:t>
      </w:r>
      <w:r w:rsidRPr="6167684E" w:rsidR="78243202">
        <w:rPr>
          <w:rFonts w:ascii="Aptos" w:hAnsi="Aptos" w:eastAsia="Aptos" w:cs="Aptos"/>
          <w:b w:val="0"/>
          <w:bCs w:val="0"/>
          <w:i w:val="1"/>
          <w:iCs w:val="1"/>
          <w:caps w:val="0"/>
          <w:smallCaps w:val="0"/>
          <w:noProof w:val="0"/>
          <w:color w:val="4C5A73"/>
          <w:sz w:val="24"/>
          <w:szCs w:val="24"/>
          <w:lang w:val="en-GB"/>
        </w:rPr>
        <w:t>Studies in Syntax and Semantics III: Speech Acts,</w:t>
      </w:r>
      <w:r w:rsidRPr="6167684E" w:rsidR="78243202">
        <w:rPr>
          <w:rFonts w:ascii="Aptos" w:hAnsi="Aptos" w:eastAsia="Aptos" w:cs="Aptos"/>
          <w:b w:val="0"/>
          <w:bCs w:val="0"/>
          <w:i w:val="0"/>
          <w:iCs w:val="0"/>
          <w:caps w:val="0"/>
          <w:smallCaps w:val="0"/>
          <w:noProof w:val="0"/>
          <w:color w:val="4C5A73"/>
          <w:sz w:val="24"/>
          <w:szCs w:val="24"/>
          <w:lang w:val="en-GB"/>
        </w:rPr>
        <w:t xml:space="preserve"> New York: Academic Press, pp. 183-98.</w:t>
      </w:r>
    </w:p>
    <w:p w:rsidR="78243202" w:rsidP="6167684E" w:rsidRDefault="78243202" w14:paraId="6B1618CD" w14:textId="0ECE1DD5">
      <w:pPr>
        <w:shd w:val="clear" w:color="auto" w:fill="FFFFFF" w:themeFill="background1"/>
        <w:spacing w:before="0" w:beforeAutospacing="off" w:after="240" w:afterAutospacing="off"/>
        <w:jc w:val="left"/>
      </w:pPr>
      <w:r w:rsidRPr="6167684E" w:rsidR="78243202">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 skills, structure training, and metacognitive monitoring. </w:t>
      </w:r>
      <w:r w:rsidRPr="6167684E" w:rsidR="78243202">
        <w:rPr>
          <w:rFonts w:ascii="Aptos" w:hAnsi="Aptos" w:eastAsia="Aptos" w:cs="Aptos"/>
          <w:b w:val="0"/>
          <w:bCs w:val="0"/>
          <w:i w:val="1"/>
          <w:iCs w:val="1"/>
          <w:caps w:val="0"/>
          <w:smallCaps w:val="0"/>
          <w:noProof w:val="0"/>
          <w:color w:val="4C5A73"/>
          <w:sz w:val="24"/>
          <w:szCs w:val="24"/>
          <w:lang w:val="en-GB"/>
        </w:rPr>
        <w:t>American Psychologist</w:t>
      </w:r>
      <w:r w:rsidRPr="6167684E" w:rsidR="78243202">
        <w:rPr>
          <w:rFonts w:ascii="Aptos" w:hAnsi="Aptos" w:eastAsia="Aptos" w:cs="Aptos"/>
          <w:b w:val="0"/>
          <w:bCs w:val="0"/>
          <w:i w:val="0"/>
          <w:iCs w:val="0"/>
          <w:caps w:val="0"/>
          <w:smallCaps w:val="0"/>
          <w:noProof w:val="0"/>
          <w:color w:val="4C5A73"/>
          <w:sz w:val="24"/>
          <w:szCs w:val="24"/>
          <w:lang w:val="en-GB"/>
        </w:rPr>
        <w:t xml:space="preserve">, </w:t>
      </w:r>
      <w:r w:rsidRPr="6167684E" w:rsidR="78243202">
        <w:rPr>
          <w:rFonts w:ascii="Aptos" w:hAnsi="Aptos" w:eastAsia="Aptos" w:cs="Aptos"/>
          <w:b w:val="0"/>
          <w:bCs w:val="0"/>
          <w:i w:val="1"/>
          <w:iCs w:val="1"/>
          <w:caps w:val="0"/>
          <w:smallCaps w:val="0"/>
          <w:noProof w:val="0"/>
          <w:color w:val="4C5A73"/>
          <w:sz w:val="24"/>
          <w:szCs w:val="24"/>
          <w:lang w:val="en-GB"/>
        </w:rPr>
        <w:t>53</w:t>
      </w:r>
      <w:r w:rsidRPr="6167684E" w:rsidR="78243202">
        <w:rPr>
          <w:rFonts w:ascii="Aptos" w:hAnsi="Aptos" w:eastAsia="Aptos" w:cs="Aptos"/>
          <w:b w:val="0"/>
          <w:bCs w:val="0"/>
          <w:i w:val="0"/>
          <w:iCs w:val="0"/>
          <w:caps w:val="0"/>
          <w:smallCaps w:val="0"/>
          <w:noProof w:val="0"/>
          <w:color w:val="4C5A73"/>
          <w:sz w:val="24"/>
          <w:szCs w:val="24"/>
          <w:lang w:val="en-GB"/>
        </w:rPr>
        <w:t xml:space="preserve">(4), 449–455. </w:t>
      </w:r>
      <w:hyperlink r:id="Rafe6dc03e3b746cd">
        <w:r w:rsidRPr="6167684E" w:rsidR="78243202">
          <w:rPr>
            <w:rStyle w:val="Hyperlink"/>
            <w:b w:val="0"/>
            <w:bCs w:val="0"/>
            <w:i w:val="0"/>
            <w:iCs w:val="0"/>
            <w:caps w:val="0"/>
            <w:smallCaps w:val="0"/>
            <w:noProof w:val="0"/>
            <w:lang w:val="en-GB"/>
          </w:rPr>
          <w:t>https://doi.org/10.1037/0003-066x.53.4.449</w:t>
        </w:r>
      </w:hyperlink>
    </w:p>
    <w:p w:rsidR="78243202" w:rsidP="6167684E" w:rsidRDefault="78243202" w14:paraId="7601ACB3" w14:textId="1316DDD3">
      <w:pPr>
        <w:pBdr>
          <w:bottom w:val="single" w:color="000000" w:sz="6" w:space="1"/>
        </w:pBdr>
        <w:shd w:val="clear" w:color="auto" w:fill="FFFFFF" w:themeFill="background1"/>
        <w:spacing w:before="0" w:beforeAutospacing="off" w:after="240" w:afterAutospacing="off"/>
        <w:jc w:val="left"/>
      </w:pPr>
      <w:r w:rsidRPr="35ECC783" w:rsidR="7DB74A26">
        <w:rPr>
          <w:rFonts w:ascii="Aptos" w:hAnsi="Aptos" w:eastAsia="Aptos" w:cs="Aptos"/>
          <w:b w:val="0"/>
          <w:bCs w:val="0"/>
          <w:i w:val="0"/>
          <w:iCs w:val="0"/>
          <w:caps w:val="0"/>
          <w:smallCaps w:val="0"/>
          <w:noProof w:val="0"/>
          <w:color w:val="4C5A73"/>
          <w:sz w:val="24"/>
          <w:szCs w:val="24"/>
          <w:lang w:val="en-GB"/>
        </w:rPr>
        <w:t xml:space="preserve">Zarouali, B., Dobber, T., &amp; Schreuder, J. (2023). Personality and susceptibility to political microtargeting: A comparison between a machine-learning and self-report approach. </w:t>
      </w:r>
      <w:r w:rsidRPr="35ECC783" w:rsidR="7DB74A26">
        <w:rPr>
          <w:rFonts w:ascii="Aptos" w:hAnsi="Aptos" w:eastAsia="Aptos" w:cs="Aptos"/>
          <w:b w:val="0"/>
          <w:bCs w:val="0"/>
          <w:i w:val="1"/>
          <w:iCs w:val="1"/>
          <w:caps w:val="0"/>
          <w:smallCaps w:val="0"/>
          <w:noProof w:val="0"/>
          <w:color w:val="4C5A73"/>
          <w:sz w:val="24"/>
          <w:szCs w:val="24"/>
          <w:lang w:val="en-GB"/>
        </w:rPr>
        <w:t>Computers in Human Behavior</w:t>
      </w:r>
      <w:r w:rsidRPr="35ECC783" w:rsidR="7DB74A26">
        <w:rPr>
          <w:rFonts w:ascii="Aptos" w:hAnsi="Aptos" w:eastAsia="Aptos" w:cs="Aptos"/>
          <w:b w:val="0"/>
          <w:bCs w:val="0"/>
          <w:i w:val="0"/>
          <w:iCs w:val="0"/>
          <w:caps w:val="0"/>
          <w:smallCaps w:val="0"/>
          <w:noProof w:val="0"/>
          <w:color w:val="4C5A73"/>
          <w:sz w:val="24"/>
          <w:szCs w:val="24"/>
          <w:lang w:val="en-GB"/>
        </w:rPr>
        <w:t xml:space="preserve">, </w:t>
      </w:r>
      <w:r w:rsidRPr="35ECC783" w:rsidR="7DB74A26">
        <w:rPr>
          <w:rFonts w:ascii="Aptos" w:hAnsi="Aptos" w:eastAsia="Aptos" w:cs="Aptos"/>
          <w:b w:val="0"/>
          <w:bCs w:val="0"/>
          <w:i w:val="1"/>
          <w:iCs w:val="1"/>
          <w:caps w:val="0"/>
          <w:smallCaps w:val="0"/>
          <w:noProof w:val="0"/>
          <w:color w:val="4C5A73"/>
          <w:sz w:val="24"/>
          <w:szCs w:val="24"/>
          <w:lang w:val="en-GB"/>
        </w:rPr>
        <w:t>151</w:t>
      </w:r>
      <w:r w:rsidRPr="35ECC783" w:rsidR="7DB74A26">
        <w:rPr>
          <w:rFonts w:ascii="Aptos" w:hAnsi="Aptos" w:eastAsia="Aptos" w:cs="Aptos"/>
          <w:b w:val="0"/>
          <w:bCs w:val="0"/>
          <w:i w:val="0"/>
          <w:iCs w:val="0"/>
          <w:caps w:val="0"/>
          <w:smallCaps w:val="0"/>
          <w:noProof w:val="0"/>
          <w:color w:val="4C5A73"/>
          <w:sz w:val="24"/>
          <w:szCs w:val="24"/>
          <w:lang w:val="en-GB"/>
        </w:rPr>
        <w:t xml:space="preserve">, 108024. </w:t>
      </w:r>
      <w:hyperlink r:id="Re91f5c9f86054da6">
        <w:r w:rsidRPr="35ECC783" w:rsidR="7DB74A26">
          <w:rPr>
            <w:rStyle w:val="Hyperlink"/>
            <w:b w:val="0"/>
            <w:bCs w:val="0"/>
            <w:i w:val="0"/>
            <w:iCs w:val="0"/>
            <w:caps w:val="0"/>
            <w:smallCaps w:val="0"/>
            <w:noProof w:val="0"/>
            <w:lang w:val="en-GB"/>
          </w:rPr>
          <w:t>https://doi.org/10.1016/j.chb.2023.108024</w:t>
        </w:r>
      </w:hyperlink>
    </w:p>
    <w:p w:rsidR="6167684E" w:rsidP="35ECC783" w:rsidRDefault="6167684E" w14:paraId="729A3C0D" w14:textId="62AF06AC">
      <w:pPr>
        <w:pStyle w:val="Normal"/>
        <w:pBdr>
          <w:bottom w:val="single" w:color="000000" w:sz="6" w:space="1"/>
        </w:pBdr>
        <w:shd w:val="clear" w:color="auto" w:fill="FFFFFF" w:themeFill="background1"/>
        <w:spacing w:before="0" w:beforeAutospacing="off" w:after="240" w:afterAutospacing="off"/>
        <w:jc w:val="left"/>
      </w:pPr>
      <w:r w:rsidRPr="35ECC783" w:rsidR="249B9A8E">
        <w:rPr>
          <w:rFonts w:ascii="Aptos" w:hAnsi="Aptos" w:eastAsia="Aptos" w:cs="Aptos"/>
          <w:b w:val="0"/>
          <w:bCs w:val="0"/>
          <w:i w:val="0"/>
          <w:iCs w:val="0"/>
          <w:caps w:val="0"/>
          <w:smallCaps w:val="0"/>
          <w:noProof w:val="0"/>
          <w:color w:val="4C5A73"/>
          <w:sz w:val="24"/>
          <w:szCs w:val="24"/>
          <w:lang w:val="en-GB"/>
        </w:rPr>
        <w:t>Peer response 1</w:t>
      </w:r>
      <w:r>
        <w:br/>
      </w:r>
      <w:r>
        <w:br/>
      </w:r>
      <w:r w:rsidRPr="35ECC783" w:rsidR="249B9A8E">
        <w:rPr>
          <w:rFonts w:ascii="Aptos" w:hAnsi="Aptos" w:eastAsia="Aptos" w:cs="Aptos"/>
          <w:b w:val="0"/>
          <w:bCs w:val="0"/>
          <w:i w:val="0"/>
          <w:iCs w:val="0"/>
          <w:caps w:val="0"/>
          <w:smallCaps w:val="0"/>
          <w:noProof w:val="0"/>
          <w:color w:val="4C5A73"/>
          <w:sz w:val="24"/>
          <w:szCs w:val="24"/>
          <w:lang w:val="en-GB"/>
        </w:rPr>
        <w:t>The post provides a strong comparison between Grice's (1975) Cooperative Principle and Halpern's (1998) critical thinking model, particularly in explaining that effective reasoning does not necessarily result in ethical communication. The distinction between persuasion and cooperative communication was particularly effective, highlighting that targeted advertising can remain technically truthful while still shaping how information is interpreted. This is important, as it shows how ethical concerns extend beyond whether information is factually accurate to how it is presented and framed for different audiences.</w:t>
      </w:r>
      <w:r>
        <w:br/>
      </w:r>
      <w:r>
        <w:br/>
      </w:r>
      <w:r w:rsidRPr="35ECC783" w:rsidR="249B9A8E">
        <w:rPr>
          <w:rFonts w:ascii="Aptos" w:hAnsi="Aptos" w:eastAsia="Aptos" w:cs="Aptos"/>
          <w:b w:val="0"/>
          <w:bCs w:val="0"/>
          <w:i w:val="0"/>
          <w:iCs w:val="0"/>
          <w:caps w:val="0"/>
          <w:smallCaps w:val="0"/>
          <w:noProof w:val="0"/>
          <w:color w:val="4C5A73"/>
          <w:sz w:val="24"/>
          <w:szCs w:val="24"/>
          <w:lang w:val="en-GB"/>
        </w:rPr>
        <w:t>One area that could be developed further is the role of the audience within the communication process. While campaigns are responsible for creating targeted messages, platforms such as Facebook also play a significant role by allowing advertisers to target users based on their online behaviour and interests. Research suggests that algorithmic personalisation can create information environments that reinforce existing beliefs while limiting exposure to alternative perspectives (Zarouali et al., 2020). This raises an important ethical issue because responsibility may not rest solely with advertisers but also with the platforms that enable psychographic targeting.</w:t>
      </w:r>
      <w:r>
        <w:br/>
      </w:r>
      <w:r>
        <w:br/>
      </w:r>
      <w:r w:rsidRPr="35ECC783" w:rsidR="249B9A8E">
        <w:rPr>
          <w:rFonts w:ascii="Aptos" w:hAnsi="Aptos" w:eastAsia="Aptos" w:cs="Aptos"/>
          <w:b w:val="0"/>
          <w:bCs w:val="0"/>
          <w:i w:val="0"/>
          <w:iCs w:val="0"/>
          <w:caps w:val="0"/>
          <w:smallCaps w:val="0"/>
          <w:noProof w:val="0"/>
          <w:color w:val="4C5A73"/>
          <w:sz w:val="24"/>
          <w:szCs w:val="24"/>
          <w:lang w:val="en-GB"/>
        </w:rPr>
        <w:t>There are some limitations in applying Grice's (1975) Cooperative Principle to political advertising, as it was originally developed to explain cooperative conversations rather than strategic mass communication. Political campaigns are designed to persuade people from the outset, so they may not always fit the expectations of everyday conversational norms. In this context, ethical principles such as transparency and democratic accountability may provide a stronger framework for evaluating whether targeted political messages are communicated responsibly (Borgesius et al., 2018).</w:t>
      </w:r>
      <w:r>
        <w:br/>
      </w:r>
      <w:r>
        <w:br/>
      </w:r>
      <w:r w:rsidRPr="35ECC783" w:rsidR="249B9A8E">
        <w:rPr>
          <w:rFonts w:ascii="Aptos" w:hAnsi="Aptos" w:eastAsia="Aptos" w:cs="Aptos"/>
          <w:b w:val="0"/>
          <w:bCs w:val="0"/>
          <w:i w:val="0"/>
          <w:iCs w:val="0"/>
          <w:caps w:val="0"/>
          <w:smallCaps w:val="0"/>
          <w:noProof w:val="0"/>
          <w:color w:val="4C5A73"/>
          <w:sz w:val="24"/>
          <w:szCs w:val="24"/>
          <w:lang w:val="en-GB"/>
        </w:rPr>
        <w:t>Critical-thinking training could help campaign professionals make more informed and evidence-based decisions. However, Abrami et al. (2015) found that developing critical-thinking skills does not necessarily mean that these skills will be consistently applied in practice. Therefore, organisational culture and external regulation also have an important role alongside training. Overall, a combination of critical-thinking training and stronger regulation may be more effective in addressing the ethical concerns surrounding political microtargeting.</w:t>
      </w:r>
      <w:r>
        <w:br/>
      </w:r>
      <w:r>
        <w:br/>
      </w:r>
      <w:r w:rsidRPr="35ECC783" w:rsidR="249B9A8E">
        <w:rPr>
          <w:rFonts w:ascii="Aptos" w:hAnsi="Aptos" w:eastAsia="Aptos" w:cs="Aptos"/>
          <w:b w:val="0"/>
          <w:bCs w:val="0"/>
          <w:i w:val="0"/>
          <w:iCs w:val="0"/>
          <w:caps w:val="0"/>
          <w:smallCaps w:val="0"/>
          <w:noProof w:val="0"/>
          <w:color w:val="4C5A73"/>
          <w:sz w:val="24"/>
          <w:szCs w:val="24"/>
          <w:lang w:val="en-GB"/>
        </w:rPr>
        <w:t>References</w:t>
      </w:r>
      <w:r>
        <w:br/>
      </w:r>
      <w:r>
        <w:br/>
      </w:r>
      <w:r w:rsidRPr="35ECC783" w:rsidR="249B9A8E">
        <w:rPr>
          <w:rFonts w:ascii="Aptos" w:hAnsi="Aptos" w:eastAsia="Aptos" w:cs="Aptos"/>
          <w:b w:val="0"/>
          <w:bCs w:val="0"/>
          <w:i w:val="0"/>
          <w:iCs w:val="0"/>
          <w:caps w:val="0"/>
          <w:smallCaps w:val="0"/>
          <w:noProof w:val="0"/>
          <w:color w:val="4C5A73"/>
          <w:sz w:val="24"/>
          <w:szCs w:val="24"/>
          <w:lang w:val="en-GB"/>
        </w:rPr>
        <w:t>Abrami, P. C., Bernard, R. M., Borokhovski, E., Waddington, D. I., Wade, C. A., &amp; Persson, T. (2014). Strategies for teaching students to think critically. Review of Educational Research, 85(2), 275–314. https://doi.org/10.3102/0034654314551063</w:t>
      </w:r>
      <w:r>
        <w:br/>
      </w:r>
      <w:r>
        <w:br/>
      </w:r>
      <w:r w:rsidRPr="35ECC783" w:rsidR="249B9A8E">
        <w:rPr>
          <w:rFonts w:ascii="Aptos" w:hAnsi="Aptos" w:eastAsia="Aptos" w:cs="Aptos"/>
          <w:b w:val="0"/>
          <w:bCs w:val="0"/>
          <w:i w:val="0"/>
          <w:iCs w:val="0"/>
          <w:caps w:val="0"/>
          <w:smallCaps w:val="0"/>
          <w:noProof w:val="0"/>
          <w:color w:val="4C5A73"/>
          <w:sz w:val="24"/>
          <w:szCs w:val="24"/>
          <w:lang w:val="en-GB"/>
        </w:rPr>
        <w:t>Borgesius, F. J. Z., Möller, J., Kruikemeier, S., Fathaigh, R. Ó., Irion, K., Dobber, T., Bodo, B., &amp; De Vreese, C. (2018). Online political microtargeting: Promises and threats for democracy. Utrecht Law Review, 14(1), 82. https://doi.org/10.18352/ulr.420</w:t>
      </w:r>
      <w:r>
        <w:br/>
      </w:r>
      <w:r>
        <w:br/>
      </w:r>
      <w:r w:rsidRPr="35ECC783" w:rsidR="249B9A8E">
        <w:rPr>
          <w:rFonts w:ascii="Aptos" w:hAnsi="Aptos" w:eastAsia="Aptos" w:cs="Aptos"/>
          <w:b w:val="0"/>
          <w:bCs w:val="0"/>
          <w:i w:val="0"/>
          <w:iCs w:val="0"/>
          <w:caps w:val="0"/>
          <w:smallCaps w:val="0"/>
          <w:noProof w:val="0"/>
          <w:color w:val="4C5A73"/>
          <w:sz w:val="24"/>
          <w:szCs w:val="24"/>
          <w:lang w:val="en-GB"/>
        </w:rPr>
        <w:t>Grice, H. P. (1975). 'Logic and conversation'. In P. Cole and J. Morgan (eds) Studies in Syntax and Semantics III: Speech Acts, New York: Academic Press, pp. 183-98.</w:t>
      </w:r>
      <w:r>
        <w:br/>
      </w:r>
      <w:r>
        <w:br/>
      </w:r>
      <w:r w:rsidRPr="35ECC783" w:rsidR="249B9A8E">
        <w:rPr>
          <w:rFonts w:ascii="Aptos" w:hAnsi="Aptos" w:eastAsia="Aptos" w:cs="Aptos"/>
          <w:b w:val="0"/>
          <w:bCs w:val="0"/>
          <w:i w:val="0"/>
          <w:iCs w:val="0"/>
          <w:caps w:val="0"/>
          <w:smallCaps w:val="0"/>
          <w:noProof w:val="0"/>
          <w:color w:val="4C5A73"/>
          <w:sz w:val="24"/>
          <w:szCs w:val="24"/>
          <w:lang w:val="en-GB"/>
        </w:rPr>
        <w:t>Halpern, D. F. (1998). Teaching critical thinking for transfer across domains: Disposition, skills, structure training, and metacognitive monitoring. American Psychologist, 53(4), 449–455. https://doi.org/10.1037/0003-066x.53.4.449</w:t>
      </w:r>
      <w:r>
        <w:br/>
      </w:r>
      <w:r>
        <w:br/>
      </w:r>
      <w:r w:rsidRPr="35ECC783" w:rsidR="249B9A8E">
        <w:rPr>
          <w:rFonts w:ascii="Aptos" w:hAnsi="Aptos" w:eastAsia="Aptos" w:cs="Aptos"/>
          <w:b w:val="0"/>
          <w:bCs w:val="0"/>
          <w:i w:val="0"/>
          <w:iCs w:val="0"/>
          <w:caps w:val="0"/>
          <w:smallCaps w:val="0"/>
          <w:noProof w:val="0"/>
          <w:color w:val="4C5A73"/>
          <w:sz w:val="24"/>
          <w:szCs w:val="24"/>
          <w:lang w:val="en-GB"/>
        </w:rPr>
        <w:t xml:space="preserve">Zarouali, B., Dobber, T., De Pauw, G., &amp; De Vreese, C. (2020). Using a Personality-Profiling Algorithm to investigate political microtargeting: Assessing the persuasion effects of Personality-Tailored ads on social media. Communication Research, 49(8), 1066–1091. </w:t>
      </w:r>
      <w:hyperlink r:id="R9b679da5be814acf">
        <w:r w:rsidRPr="35ECC783" w:rsidR="249B9A8E">
          <w:rPr>
            <w:rStyle w:val="Hyperlink"/>
            <w:b w:val="0"/>
            <w:bCs w:val="0"/>
            <w:i w:val="0"/>
            <w:iCs w:val="0"/>
            <w:caps w:val="0"/>
            <w:smallCaps w:val="0"/>
            <w:noProof w:val="0"/>
            <w:lang w:val="en-GB"/>
          </w:rPr>
          <w:t>https://doi.org/10.1177/0093650220961965</w:t>
        </w:r>
      </w:hyperlink>
    </w:p>
    <w:p w:rsidR="35ECC783" w:rsidP="35ECC783" w:rsidRDefault="35ECC783" w14:paraId="4CDC1172" w14:textId="713A0C86">
      <w:pPr>
        <w:pStyle w:val="Normal"/>
        <w:pBdr>
          <w:bottom w:val="single" w:color="000000" w:sz="6" w:space="1"/>
        </w:pBdr>
        <w:shd w:val="clear" w:color="auto" w:fill="FFFFFF" w:themeFill="background1"/>
        <w:spacing w:before="0" w:beforeAutospacing="off" w:after="240" w:afterAutospacing="off"/>
        <w:jc w:val="left"/>
        <w:rPr>
          <w:rFonts w:ascii="Aptos" w:hAnsi="Aptos" w:eastAsia="Aptos" w:cs="Aptos"/>
          <w:b w:val="0"/>
          <w:bCs w:val="0"/>
          <w:i w:val="0"/>
          <w:iCs w:val="0"/>
          <w:caps w:val="0"/>
          <w:smallCaps w:val="0"/>
          <w:noProof w:val="0"/>
          <w:color w:val="4C5A73"/>
          <w:sz w:val="24"/>
          <w:szCs w:val="24"/>
          <w:lang w:val="en-GB"/>
        </w:rPr>
      </w:pPr>
    </w:p>
    <w:p w:rsidR="249B9A8E" w:rsidP="35ECC783" w:rsidRDefault="249B9A8E" w14:paraId="30579DF2" w14:textId="4D421A96">
      <w:pPr>
        <w:pStyle w:val="Normal"/>
        <w:pBdr>
          <w:bottom w:val="single" w:color="000000" w:sz="6" w:space="1"/>
        </w:pBdr>
        <w:shd w:val="clear" w:color="auto" w:fill="FFFFFF" w:themeFill="background1"/>
        <w:spacing w:before="0" w:beforeAutospacing="off" w:after="240" w:afterAutospacing="off"/>
        <w:jc w:val="left"/>
        <w:rPr>
          <w:rFonts w:ascii="Aptos" w:hAnsi="Aptos" w:eastAsia="Aptos" w:cs="Aptos"/>
          <w:noProof w:val="0"/>
          <w:sz w:val="24"/>
          <w:szCs w:val="24"/>
          <w:lang w:val="en-GB"/>
        </w:rPr>
      </w:pPr>
      <w:r w:rsidRPr="35ECC783" w:rsidR="249B9A8E">
        <w:rPr>
          <w:rFonts w:ascii="Aptos" w:hAnsi="Aptos" w:eastAsia="Aptos" w:cs="Aptos"/>
          <w:b w:val="0"/>
          <w:bCs w:val="0"/>
          <w:i w:val="0"/>
          <w:iCs w:val="0"/>
          <w:caps w:val="0"/>
          <w:smallCaps w:val="0"/>
          <w:noProof w:val="0"/>
          <w:color w:val="4C5A73"/>
          <w:sz w:val="24"/>
          <w:szCs w:val="24"/>
          <w:lang w:val="en-GB"/>
        </w:rPr>
        <w:t>Peer response 2</w:t>
      </w:r>
      <w:r>
        <w:br/>
      </w:r>
      <w:r>
        <w:br/>
      </w:r>
      <w:r w:rsidRPr="35ECC783" w:rsidR="249B9A8E">
        <w:rPr>
          <w:rFonts w:ascii="Aptos" w:hAnsi="Aptos" w:eastAsia="Aptos" w:cs="Aptos"/>
          <w:b w:val="0"/>
          <w:bCs w:val="0"/>
          <w:i w:val="0"/>
          <w:iCs w:val="0"/>
          <w:caps w:val="0"/>
          <w:smallCaps w:val="0"/>
          <w:noProof w:val="0"/>
          <w:color w:val="4C5A73"/>
          <w:sz w:val="24"/>
          <w:szCs w:val="24"/>
          <w:lang w:val="en-GB"/>
        </w:rPr>
        <w:t>This post was really interesting because it clearly links psychographic targeting with Grice’s Cooperative Principle and critical thinking. I particularly liked that the post does not assume that psychographic targeting is always manipulative. The use of Aagaard and Marthedal (2023) is useful because they identify different views of political microtargeting, including its potential to encourage political engagement as well as concerns about manipulation. Therefore, creating a more balanced argument and gives consideration to alternative explanations.</w:t>
      </w:r>
      <w:r>
        <w:br/>
      </w:r>
      <w:r>
        <w:br/>
      </w:r>
      <w:r w:rsidRPr="35ECC783" w:rsidR="249B9A8E">
        <w:rPr>
          <w:rFonts w:ascii="Aptos" w:hAnsi="Aptos" w:eastAsia="Aptos" w:cs="Aptos"/>
          <w:b w:val="0"/>
          <w:bCs w:val="0"/>
          <w:i w:val="0"/>
          <w:iCs w:val="0"/>
          <w:caps w:val="0"/>
          <w:smallCaps w:val="0"/>
          <w:noProof w:val="0"/>
          <w:color w:val="4C5A73"/>
          <w:sz w:val="24"/>
          <w:szCs w:val="24"/>
          <w:lang w:val="en-GB"/>
        </w:rPr>
        <w:t>The discussion of quantity and quality in the application of Grice’s (1975) maxim works well. While political messages can be factually accurate, they can leave out important information, giving voters an incomplete picture. This matters because different groups may receive very different messages about the same political issue. Zuiderveen Borgesius et al. (2018) similarly highlight concerns about political microtargeting, particularly the possibility that personalised messages can make political communication less transparent.</w:t>
      </w:r>
      <w:r>
        <w:br/>
      </w:r>
      <w:r w:rsidRPr="35ECC783" w:rsidR="249B9A8E">
        <w:rPr>
          <w:rFonts w:ascii="Aptos" w:hAnsi="Aptos" w:eastAsia="Aptos" w:cs="Aptos"/>
          <w:b w:val="0"/>
          <w:bCs w:val="0"/>
          <w:i w:val="0"/>
          <w:iCs w:val="0"/>
          <w:caps w:val="0"/>
          <w:smallCaps w:val="0"/>
          <w:noProof w:val="0"/>
          <w:color w:val="4C5A73"/>
          <w:sz w:val="24"/>
          <w:szCs w:val="24"/>
          <w:lang w:val="en-GB"/>
        </w:rPr>
        <w:t>One question this raises is whether Grice’s Cooperative Principle can be fully applied to online political advertising. Grice originally developed the maxims in relation to conversation, whereas political advertising is often one-way communication. Could this mean that some of the maxims need to be interpreted differently when analysing digital advertising?</w:t>
      </w:r>
      <w:r>
        <w:br/>
      </w:r>
      <w:r>
        <w:br/>
      </w:r>
      <w:r w:rsidRPr="35ECC783" w:rsidR="249B9A8E">
        <w:rPr>
          <w:rFonts w:ascii="Aptos" w:hAnsi="Aptos" w:eastAsia="Aptos" w:cs="Aptos"/>
          <w:b w:val="0"/>
          <w:bCs w:val="0"/>
          <w:i w:val="0"/>
          <w:iCs w:val="0"/>
          <w:caps w:val="0"/>
          <w:smallCaps w:val="0"/>
          <w:noProof w:val="0"/>
          <w:color w:val="4C5A73"/>
          <w:sz w:val="24"/>
          <w:szCs w:val="24"/>
          <w:lang w:val="en-GB"/>
        </w:rPr>
        <w:t>The work of Halpern’s (1998) on critical thinking was also effective, and I agree that agencies can use critical thinking to evaluate evidence and question assumptions. Matz et al. (2017) demonstrate that psychological targeting can increase the effectiveness of persuasion, which raises the question of whether agencies have a responsibility to consider whether effective persuasion could reduce a voter’s ability to make informed decisions.</w:t>
      </w:r>
      <w:r>
        <w:br/>
      </w:r>
      <w:r>
        <w:br/>
      </w:r>
      <w:r w:rsidRPr="35ECC783" w:rsidR="249B9A8E">
        <w:rPr>
          <w:rFonts w:ascii="Aptos" w:hAnsi="Aptos" w:eastAsia="Aptos" w:cs="Aptos"/>
          <w:b w:val="0"/>
          <w:bCs w:val="0"/>
          <w:i w:val="0"/>
          <w:iCs w:val="0"/>
          <w:caps w:val="0"/>
          <w:smallCaps w:val="0"/>
          <w:noProof w:val="0"/>
          <w:color w:val="4C5A73"/>
          <w:sz w:val="24"/>
          <w:szCs w:val="24"/>
          <w:lang w:val="en-GB"/>
        </w:rPr>
        <w:t>To conclude, the post makes strong connections between effective persuasion, critical thinking and responsible political communication. It shows why communication should be evaluated not only by whether it works, but by how it affects the people receiving it.</w:t>
      </w:r>
      <w:r>
        <w:br/>
      </w:r>
      <w:r>
        <w:br/>
      </w:r>
      <w:r w:rsidRPr="35ECC783" w:rsidR="249B9A8E">
        <w:rPr>
          <w:rFonts w:ascii="Aptos" w:hAnsi="Aptos" w:eastAsia="Aptos" w:cs="Aptos"/>
          <w:b w:val="0"/>
          <w:bCs w:val="0"/>
          <w:i w:val="0"/>
          <w:iCs w:val="0"/>
          <w:caps w:val="0"/>
          <w:smallCaps w:val="0"/>
          <w:noProof w:val="0"/>
          <w:color w:val="4C5A73"/>
          <w:sz w:val="24"/>
          <w:szCs w:val="24"/>
          <w:lang w:val="en-GB"/>
        </w:rPr>
        <w:t>References</w:t>
      </w:r>
      <w:r>
        <w:br/>
      </w:r>
      <w:r>
        <w:br/>
      </w:r>
      <w:r w:rsidRPr="35ECC783" w:rsidR="249B9A8E">
        <w:rPr>
          <w:rFonts w:ascii="Aptos" w:hAnsi="Aptos" w:eastAsia="Aptos" w:cs="Aptos"/>
          <w:b w:val="0"/>
          <w:bCs w:val="0"/>
          <w:i w:val="0"/>
          <w:iCs w:val="0"/>
          <w:caps w:val="0"/>
          <w:smallCaps w:val="0"/>
          <w:noProof w:val="0"/>
          <w:color w:val="4C5A73"/>
          <w:sz w:val="24"/>
          <w:szCs w:val="24"/>
          <w:lang w:val="en-GB"/>
        </w:rPr>
        <w:t xml:space="preserve">Aagaard, P., &amp; Marthedal, S. (2023). Political microtargeting: Towards a pragmatic approach. </w:t>
      </w:r>
      <w:r w:rsidRPr="35ECC783" w:rsidR="249B9A8E">
        <w:rPr>
          <w:rFonts w:ascii="Aptos" w:hAnsi="Aptos" w:eastAsia="Aptos" w:cs="Aptos"/>
          <w:b w:val="0"/>
          <w:bCs w:val="0"/>
          <w:i w:val="1"/>
          <w:iCs w:val="1"/>
          <w:caps w:val="0"/>
          <w:smallCaps w:val="0"/>
          <w:noProof w:val="0"/>
          <w:color w:val="4C5A73"/>
          <w:sz w:val="24"/>
          <w:szCs w:val="24"/>
          <w:lang w:val="en-GB"/>
        </w:rPr>
        <w:t>Internet Policy Review</w:t>
      </w:r>
      <w:r w:rsidRPr="35ECC783" w:rsidR="249B9A8E">
        <w:rPr>
          <w:rFonts w:ascii="Aptos" w:hAnsi="Aptos" w:eastAsia="Aptos" w:cs="Aptos"/>
          <w:b w:val="0"/>
          <w:bCs w:val="0"/>
          <w:i w:val="0"/>
          <w:iCs w:val="0"/>
          <w:caps w:val="0"/>
          <w:smallCaps w:val="0"/>
          <w:noProof w:val="0"/>
          <w:color w:val="4C5A73"/>
          <w:sz w:val="24"/>
          <w:szCs w:val="24"/>
          <w:lang w:val="en-GB"/>
        </w:rPr>
        <w:t>, 12(1). https://doi.org/10.14763/2023.1.1690</w:t>
      </w:r>
      <w:r>
        <w:br/>
      </w:r>
      <w:r>
        <w:br/>
      </w:r>
      <w:r w:rsidRPr="35ECC783" w:rsidR="249B9A8E">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Syntax and semantics: Vol. 3. </w:t>
      </w:r>
      <w:r w:rsidRPr="35ECC783" w:rsidR="249B9A8E">
        <w:rPr>
          <w:rFonts w:ascii="Aptos" w:hAnsi="Aptos" w:eastAsia="Aptos" w:cs="Aptos"/>
          <w:b w:val="0"/>
          <w:bCs w:val="0"/>
          <w:i w:val="1"/>
          <w:iCs w:val="1"/>
          <w:caps w:val="0"/>
          <w:smallCaps w:val="0"/>
          <w:noProof w:val="0"/>
          <w:color w:val="4C5A73"/>
          <w:sz w:val="24"/>
          <w:szCs w:val="24"/>
          <w:lang w:val="en-GB"/>
        </w:rPr>
        <w:t>Speech acts</w:t>
      </w:r>
      <w:r w:rsidRPr="35ECC783" w:rsidR="249B9A8E">
        <w:rPr>
          <w:rFonts w:ascii="Aptos" w:hAnsi="Aptos" w:eastAsia="Aptos" w:cs="Aptos"/>
          <w:b w:val="0"/>
          <w:bCs w:val="0"/>
          <w:i w:val="0"/>
          <w:iCs w:val="0"/>
          <w:caps w:val="0"/>
          <w:smallCaps w:val="0"/>
          <w:noProof w:val="0"/>
          <w:color w:val="4C5A73"/>
          <w:sz w:val="24"/>
          <w:szCs w:val="24"/>
          <w:lang w:val="en-GB"/>
        </w:rPr>
        <w:t xml:space="preserve"> (pp. 41–58). Academic Press.</w:t>
      </w:r>
      <w:r>
        <w:br/>
      </w:r>
      <w:r>
        <w:br/>
      </w:r>
      <w:r w:rsidRPr="35ECC783" w:rsidR="249B9A8E">
        <w:rPr>
          <w:rFonts w:ascii="Aptos" w:hAnsi="Aptos" w:eastAsia="Aptos" w:cs="Aptos"/>
          <w:b w:val="0"/>
          <w:bCs w:val="0"/>
          <w:i w:val="0"/>
          <w:iCs w:val="0"/>
          <w:caps w:val="0"/>
          <w:smallCaps w:val="0"/>
          <w:noProof w:val="0"/>
          <w:color w:val="4C5A73"/>
          <w:sz w:val="24"/>
          <w:szCs w:val="24"/>
          <w:lang w:val="en-GB"/>
        </w:rPr>
        <w:t>Halpern, D. F. (1998). Teaching critical thinking for transfer across domains: Dispositions, skills, structure training, and metacognitive monitoring.</w:t>
      </w:r>
      <w:r w:rsidRPr="35ECC783" w:rsidR="249B9A8E">
        <w:rPr>
          <w:rFonts w:ascii="Aptos" w:hAnsi="Aptos" w:eastAsia="Aptos" w:cs="Aptos"/>
          <w:b w:val="0"/>
          <w:bCs w:val="0"/>
          <w:i w:val="1"/>
          <w:iCs w:val="1"/>
          <w:caps w:val="0"/>
          <w:smallCaps w:val="0"/>
          <w:noProof w:val="0"/>
          <w:color w:val="4C5A73"/>
          <w:sz w:val="24"/>
          <w:szCs w:val="24"/>
          <w:lang w:val="en-GB"/>
        </w:rPr>
        <w:t xml:space="preserve"> American Psychologist</w:t>
      </w:r>
      <w:r w:rsidRPr="35ECC783" w:rsidR="249B9A8E">
        <w:rPr>
          <w:rFonts w:ascii="Aptos" w:hAnsi="Aptos" w:eastAsia="Aptos" w:cs="Aptos"/>
          <w:b w:val="0"/>
          <w:bCs w:val="0"/>
          <w:i w:val="0"/>
          <w:iCs w:val="0"/>
          <w:caps w:val="0"/>
          <w:smallCaps w:val="0"/>
          <w:noProof w:val="0"/>
          <w:color w:val="4C5A73"/>
          <w:sz w:val="24"/>
          <w:szCs w:val="24"/>
          <w:lang w:val="en-GB"/>
        </w:rPr>
        <w:t>, 53(4), 449–455. https://doi.org/10.1037/0003-066X.53.4.449</w:t>
      </w:r>
      <w:r>
        <w:br/>
      </w:r>
      <w:r>
        <w:br/>
      </w:r>
      <w:r w:rsidRPr="35ECC783" w:rsidR="249B9A8E">
        <w:rPr>
          <w:rFonts w:ascii="Aptos" w:hAnsi="Aptos" w:eastAsia="Aptos" w:cs="Aptos"/>
          <w:b w:val="0"/>
          <w:bCs w:val="0"/>
          <w:i w:val="0"/>
          <w:iCs w:val="0"/>
          <w:caps w:val="0"/>
          <w:smallCaps w:val="0"/>
          <w:noProof w:val="0"/>
          <w:color w:val="4C5A73"/>
          <w:sz w:val="24"/>
          <w:szCs w:val="24"/>
          <w:lang w:val="en-GB"/>
        </w:rPr>
        <w:t xml:space="preserve">Matz, S. C., Kosinski, M., Nave, G., &amp; Stillwell, D. J. (2017). Psychological targeting as an effective approach to digital mass persuasion. </w:t>
      </w:r>
      <w:r w:rsidRPr="35ECC783" w:rsidR="249B9A8E">
        <w:rPr>
          <w:rFonts w:ascii="Aptos" w:hAnsi="Aptos" w:eastAsia="Aptos" w:cs="Aptos"/>
          <w:b w:val="0"/>
          <w:bCs w:val="0"/>
          <w:i w:val="1"/>
          <w:iCs w:val="1"/>
          <w:caps w:val="0"/>
          <w:smallCaps w:val="0"/>
          <w:noProof w:val="0"/>
          <w:color w:val="4C5A73"/>
          <w:sz w:val="24"/>
          <w:szCs w:val="24"/>
          <w:lang w:val="en-GB"/>
        </w:rPr>
        <w:t>Proceedings of the National Academy of Sciences</w:t>
      </w:r>
      <w:r w:rsidRPr="35ECC783" w:rsidR="249B9A8E">
        <w:rPr>
          <w:rFonts w:ascii="Aptos" w:hAnsi="Aptos" w:eastAsia="Aptos" w:cs="Aptos"/>
          <w:b w:val="0"/>
          <w:bCs w:val="0"/>
          <w:i w:val="0"/>
          <w:iCs w:val="0"/>
          <w:caps w:val="0"/>
          <w:smallCaps w:val="0"/>
          <w:noProof w:val="0"/>
          <w:color w:val="4C5A73"/>
          <w:sz w:val="24"/>
          <w:szCs w:val="24"/>
          <w:lang w:val="en-GB"/>
        </w:rPr>
        <w:t>, 114(48), 12714–12719. https://doi.org/10.1073/pnas.1710966114</w:t>
      </w:r>
      <w:r>
        <w:br/>
      </w:r>
      <w:r>
        <w:br/>
      </w:r>
      <w:r w:rsidRPr="35ECC783" w:rsidR="249B9A8E">
        <w:rPr>
          <w:rFonts w:ascii="Aptos" w:hAnsi="Aptos" w:eastAsia="Aptos" w:cs="Aptos"/>
          <w:b w:val="0"/>
          <w:bCs w:val="0"/>
          <w:i w:val="0"/>
          <w:iCs w:val="0"/>
          <w:caps w:val="0"/>
          <w:smallCaps w:val="0"/>
          <w:noProof w:val="0"/>
          <w:color w:val="4C5A73"/>
          <w:sz w:val="24"/>
          <w:szCs w:val="24"/>
          <w:lang w:val="en-GB"/>
        </w:rPr>
        <w:t xml:space="preserve">Zuiderveen Borgesius, F. J., Möller, J., Kruikemeier, S., Fathaigh, R. Ó., Irion, K., Dobber, T., Bodo, B., &amp; de Vreese, C. (2018). Online political microtargeting: Promises and threats for democracy. </w:t>
      </w:r>
      <w:r w:rsidRPr="35ECC783" w:rsidR="249B9A8E">
        <w:rPr>
          <w:rFonts w:ascii="Aptos" w:hAnsi="Aptos" w:eastAsia="Aptos" w:cs="Aptos"/>
          <w:b w:val="0"/>
          <w:bCs w:val="0"/>
          <w:i w:val="1"/>
          <w:iCs w:val="1"/>
          <w:caps w:val="0"/>
          <w:smallCaps w:val="0"/>
          <w:noProof w:val="0"/>
          <w:color w:val="4C5A73"/>
          <w:sz w:val="24"/>
          <w:szCs w:val="24"/>
          <w:lang w:val="en-GB"/>
        </w:rPr>
        <w:t>Utrecht Law Review,</w:t>
      </w:r>
      <w:r w:rsidRPr="35ECC783" w:rsidR="249B9A8E">
        <w:rPr>
          <w:rFonts w:ascii="Aptos" w:hAnsi="Aptos" w:eastAsia="Aptos" w:cs="Aptos"/>
          <w:b w:val="0"/>
          <w:bCs w:val="0"/>
          <w:i w:val="0"/>
          <w:iCs w:val="0"/>
          <w:caps w:val="0"/>
          <w:smallCaps w:val="0"/>
          <w:noProof w:val="0"/>
          <w:color w:val="4C5A73"/>
          <w:sz w:val="24"/>
          <w:szCs w:val="24"/>
          <w:lang w:val="en-GB"/>
        </w:rPr>
        <w:t xml:space="preserve"> 14(1), 82–96. https://doi.org/10.18352/ulr.420</w:t>
      </w:r>
    </w:p>
    <w:p w:rsidR="6167684E" w:rsidP="6167684E" w:rsidRDefault="6167684E" w14:paraId="37493675" w14:textId="43B57EE2">
      <w:pPr>
        <w:pBdr>
          <w:bottom w:val="single" w:color="000000" w:sz="6" w:space="1"/>
        </w:pBdr>
        <w:shd w:val="clear" w:color="auto" w:fill="FFFFFF" w:themeFill="background1"/>
        <w:spacing w:before="0" w:beforeAutospacing="off" w:after="240" w:afterAutospacing="off"/>
        <w:jc w:val="left"/>
        <w:rPr>
          <w:b w:val="0"/>
          <w:bCs w:val="0"/>
          <w:i w:val="0"/>
          <w:iCs w:val="0"/>
          <w:caps w:val="0"/>
          <w:smallCaps w:val="0"/>
          <w:noProof w:val="0"/>
          <w:lang w:val="en-GB"/>
        </w:rPr>
      </w:pPr>
    </w:p>
    <w:sectPr w:rsidR="003B379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B25DD3"/>
    <w:rsid w:val="003B3793"/>
    <w:rsid w:val="00481F9D"/>
    <w:rsid w:val="175B0EB0"/>
    <w:rsid w:val="2491496D"/>
    <w:rsid w:val="249B9A8E"/>
    <w:rsid w:val="35ECC783"/>
    <w:rsid w:val="4E4BFF4E"/>
    <w:rsid w:val="50B25DD3"/>
    <w:rsid w:val="57741F53"/>
    <w:rsid w:val="6167684E"/>
    <w:rsid w:val="698DA366"/>
    <w:rsid w:val="6DF7C259"/>
    <w:rsid w:val="75005AD9"/>
    <w:rsid w:val="78243202"/>
    <w:rsid w:val="7B3487ED"/>
    <w:rsid w:val="7DB74A2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6CB8"/>
  <w15:chartTrackingRefBased/>
  <w15:docId w15:val="{FABEB34C-B90B-4CD4-8B77-13F49AFE1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6949&amp;course=15414" TargetMode="External" Id="R8818080db5b54849" /><Relationship Type="http://schemas.openxmlformats.org/officeDocument/2006/relationships/hyperlink" Target="https://doi.org/10.3102/0034654314551063" TargetMode="External" Id="R6020d7faa198404e" /><Relationship Type="http://schemas.openxmlformats.org/officeDocument/2006/relationships/hyperlink" Target="https://searchengineland.com/aimclears-psychographic-targeting-for-political-advertising-agencies-wins-237290" TargetMode="External" Id="Rb74bdcb8a9254472" /><Relationship Type="http://schemas.openxmlformats.org/officeDocument/2006/relationships/hyperlink" Target="https://doi.org/10.1037/0003-066x.53.4.449" TargetMode="External" Id="Rafe6dc03e3b746cd" /><Relationship Type="http://schemas.openxmlformats.org/officeDocument/2006/relationships/hyperlink" Target="https://doi.org/10.1016/j.chb.2023.108024" TargetMode="External" Id="Re91f5c9f86054da6" /><Relationship Type="http://schemas.openxmlformats.org/officeDocument/2006/relationships/hyperlink" Target="https://doi.org/10.1177/0093650220961965" TargetMode="External" Id="R9b679da5be814ac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4</revision>
  <dcterms:created xsi:type="dcterms:W3CDTF">2026-08-28T10:55:00.0000000Z</dcterms:created>
  <dcterms:modified xsi:type="dcterms:W3CDTF">2026-08-28T11:00:02.0543706Z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2026-08-28T10:55:36Z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0ed723b8-8e01-46ff-9864-f23706999ad7</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