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040F4" w:rsidP="2F0F47F5" w:rsidRDefault="005040F4" w14:paraId="0365EF21" w14:textId="4D5A52FE">
      <w:pPr>
        <w:pStyle w:val="Normal"/>
        <w:shd w:val="clear" w:color="auto" w:fill="FFFFFF" w:themeFill="background1"/>
        <w:spacing w:before="0" w:beforeAutospacing="off" w:after="240" w:afterAutospacing="off"/>
        <w:jc w:val="left"/>
      </w:pPr>
      <w:r>
        <w:br/>
      </w:r>
      <w:hyperlink r:id="Re819bc44065d482f">
        <w:r w:rsidRPr="2F0F47F5" w:rsidR="5E253DE3">
          <w:rPr>
            <w:rStyle w:val="Hyperlink"/>
            <w:b w:val="0"/>
            <w:bCs w:val="0"/>
            <w:i w:val="0"/>
            <w:iCs w:val="0"/>
            <w:caps w:val="0"/>
            <w:smallCaps w:val="0"/>
            <w:strike w:val="0"/>
            <w:dstrike w:val="0"/>
            <w:noProof w:val="0"/>
            <w:color w:val="CD202C"/>
            <w:u w:val="single"/>
            <w:lang w:val="en-GB"/>
          </w:rPr>
          <w:t>Neeru Achall</w:t>
        </w:r>
      </w:hyperlink>
      <w:r>
        <w:br/>
      </w:r>
      <w:r w:rsidR="6EB5A031">
        <w:rPr/>
        <w:t>Initial Post:</w:t>
      </w:r>
    </w:p>
    <w:p w:rsidR="005040F4" w:rsidP="2F0F47F5" w:rsidRDefault="005040F4" w14:paraId="42619256" w14:textId="39FCF00F">
      <w:pPr>
        <w:shd w:val="clear" w:color="auto" w:fill="FFFFFF" w:themeFill="background1"/>
        <w:spacing w:before="0" w:beforeAutospacing="off" w:after="240" w:afterAutospacing="off"/>
        <w:jc w:val="left"/>
      </w:pPr>
      <w:r w:rsidRPr="2F0F47F5" w:rsidR="1DDBA038">
        <w:rPr>
          <w:rFonts w:ascii="Aptos" w:hAnsi="Aptos" w:eastAsia="Aptos" w:cs="Aptos"/>
          <w:b w:val="0"/>
          <w:bCs w:val="0"/>
          <w:i w:val="0"/>
          <w:iCs w:val="0"/>
          <w:caps w:val="0"/>
          <w:smallCaps w:val="0"/>
          <w:noProof w:val="0"/>
          <w:color w:val="4C5A73"/>
          <w:sz w:val="24"/>
          <w:szCs w:val="24"/>
          <w:lang w:val="en-GB"/>
        </w:rPr>
        <w:t xml:space="preserve">The tension between effective persuasion and cooperative communication can be seen in psychographic political advertising. The strategy described by aimClear (2015) identifies audiences and tailors’ political messages to their interests by using psychological, demographic, and behavioural data. For example, campaigns can apply “lookalike” audiences to find users who share interests, characteristics, and behaviours, or they can retarget visitors of a particular policy page with closely linked advertisements. Whilst this type of targeting makes communication more relevant personally, it can also restrict the information available for voters and therefore conflicts with Grice’s (1975) Cooperative Principle.  </w:t>
      </w:r>
    </w:p>
    <w:p w:rsidR="005040F4" w:rsidP="2F0F47F5" w:rsidRDefault="005040F4" w14:paraId="069FFD0F" w14:textId="60D1D57B">
      <w:pPr>
        <w:shd w:val="clear" w:color="auto" w:fill="FFFFFF" w:themeFill="background1"/>
        <w:spacing w:before="0" w:beforeAutospacing="off" w:after="240" w:afterAutospacing="off"/>
        <w:jc w:val="left"/>
      </w:pPr>
      <w:r w:rsidRPr="2F0F47F5" w:rsidR="1DDBA038">
        <w:rPr>
          <w:rFonts w:ascii="Aptos" w:hAnsi="Aptos" w:eastAsia="Aptos" w:cs="Aptos"/>
          <w:b w:val="0"/>
          <w:bCs w:val="0"/>
          <w:i w:val="0"/>
          <w:iCs w:val="0"/>
          <w:caps w:val="0"/>
          <w:smallCaps w:val="0"/>
          <w:noProof w:val="0"/>
          <w:color w:val="4C5A73"/>
          <w:sz w:val="24"/>
          <w:szCs w:val="24"/>
          <w:lang w:val="en-GB"/>
        </w:rPr>
        <w:t>Grice suggested that communication is generally cooperative and outlined four maxims: Quantity, Quality, Relation, and Manner. Psychographic targeting does not essentially violate these principles; however, opportunities to do so can be found. Maxim of Quantity, there must be enough information to facilitate an exchange. A targeted political advertisement might exclude relevant parts of a candidate’s stance whilst offering information that is specially chosen to appeal to a particular person. Quality asks for well-supported, truthful communication; therefore, targeting is not problematic unless personalised claims are deceptive or not clearly evidenced. Psychographic targeting may actually help Relation, as this needs to be relevant and delivering messages is usually aligned with an individual’s interests. Relevance, however, can be tactically created while the larger political background remains unrevealed. Lastly, Manner needs clarity and avoidance of ambiguity. Communication can therefore be linguistically clear but may be less clear about why a voter was chosen or what the larger overall political stance is (Grice, 1975).</w:t>
      </w:r>
    </w:p>
    <w:p w:rsidR="005040F4" w:rsidP="2F0F47F5" w:rsidRDefault="005040F4" w14:paraId="50C6E1A5" w14:textId="1F3D9493">
      <w:pPr>
        <w:shd w:val="clear" w:color="auto" w:fill="FFFFFF" w:themeFill="background1"/>
        <w:spacing w:before="0" w:beforeAutospacing="off" w:after="240" w:afterAutospacing="off"/>
        <w:jc w:val="left"/>
      </w:pPr>
      <w:r w:rsidRPr="2F0F47F5" w:rsidR="1DDBA038">
        <w:rPr>
          <w:rFonts w:ascii="Aptos" w:hAnsi="Aptos" w:eastAsia="Aptos" w:cs="Aptos"/>
          <w:b w:val="0"/>
          <w:bCs w:val="0"/>
          <w:i w:val="0"/>
          <w:iCs w:val="0"/>
          <w:caps w:val="0"/>
          <w:smallCaps w:val="0"/>
          <w:noProof w:val="0"/>
          <w:color w:val="4C5A73"/>
          <w:sz w:val="24"/>
          <w:szCs w:val="24"/>
          <w:lang w:val="en-GB"/>
        </w:rPr>
        <w:t>Critical thinking, as defined by Halpern and Dunn (2023), is the intentional use of strategies and cognitive skills to improve the possibility of reaching a desirable outcome. These skills can be applied by political advertising agencies through assessing the reliability of voter information, detecting assumptions, weighing alternative explanations, testing theories, and tracking campaign results. However, cooperative communication is not always produced through critical thinking. To provide selective information, agencies could critically assess evidence and correctly establish which psychological traits are linked with a voter’s responsiveness to particular messages.</w:t>
      </w:r>
    </w:p>
    <w:p w:rsidR="005040F4" w:rsidP="2F0F47F5" w:rsidRDefault="005040F4" w14:paraId="1EF6DCC7" w14:textId="03EF383E">
      <w:pPr>
        <w:shd w:val="clear" w:color="auto" w:fill="FFFFFF" w:themeFill="background1"/>
        <w:spacing w:before="0" w:beforeAutospacing="off" w:after="240" w:afterAutospacing="off"/>
        <w:jc w:val="left"/>
      </w:pPr>
      <w:r w:rsidRPr="2F0F47F5" w:rsidR="1DDBA038">
        <w:rPr>
          <w:rFonts w:ascii="Aptos" w:hAnsi="Aptos" w:eastAsia="Aptos" w:cs="Aptos"/>
          <w:b w:val="0"/>
          <w:bCs w:val="0"/>
          <w:i w:val="0"/>
          <w:iCs w:val="0"/>
          <w:caps w:val="0"/>
          <w:smallCaps w:val="0"/>
          <w:noProof w:val="0"/>
          <w:color w:val="4C5A73"/>
          <w:sz w:val="24"/>
          <w:szCs w:val="24"/>
          <w:lang w:val="en-GB"/>
        </w:rPr>
        <w:t>Evidence proposes that through appropriate instruction the development of critical thinking can be fostered. Halpern (1998) claims practice that supports transfer across contexts, metacognitive monitoring, a critical-thinking disposition, and explicit skills instruction are needed for effective development. In support of this, Abrami et al. (2015) found that instructional interventions had an overall favourable effect on critical-thinking outcomes across 341 effect sizes, although the efficacy of approaches varied. Similarly, Niu et al. (2013) discovered a statistically significant but small overall effect through 40 effect sizes. Therefore, political advertising agencies could build these skills through regular analysis of campaign data, explicit training, feedback, assessment of competing explanations and reflection on previous campaign choices.</w:t>
      </w:r>
    </w:p>
    <w:p w:rsidR="005040F4" w:rsidP="2F0F47F5" w:rsidRDefault="005040F4" w14:paraId="5DE0E9BB" w14:textId="1B4F05FF">
      <w:pPr>
        <w:shd w:val="clear" w:color="auto" w:fill="FFFFFF" w:themeFill="background1"/>
        <w:spacing w:before="0" w:beforeAutospacing="off" w:after="240" w:afterAutospacing="off"/>
        <w:jc w:val="left"/>
      </w:pPr>
      <w:r w:rsidRPr="2F0F47F5" w:rsidR="1DDBA038">
        <w:rPr>
          <w:rFonts w:ascii="Aptos" w:hAnsi="Aptos" w:eastAsia="Aptos" w:cs="Aptos"/>
          <w:b w:val="0"/>
          <w:bCs w:val="0"/>
          <w:i w:val="0"/>
          <w:iCs w:val="0"/>
          <w:caps w:val="0"/>
          <w:smallCaps w:val="0"/>
          <w:noProof w:val="0"/>
          <w:color w:val="4C5A73"/>
          <w:sz w:val="24"/>
          <w:szCs w:val="24"/>
          <w:lang w:val="en-GB"/>
        </w:rPr>
        <w:t>Overall, Gricean communication gives a communicative standard that compliments critical-thinking skills, making it relevant to political agencies. Critical thinking can better how agencies analyse voters and create persuasive arguments, but it does not ensure that the resulting message is adequately informative, truthful, relevant or clear. Therefore, Grice gives an important extra angle for assessing how critically thought-out insights are transformed into political persuasion.</w:t>
      </w:r>
    </w:p>
    <w:p w:rsidR="005040F4" w:rsidP="2F0F47F5" w:rsidRDefault="005040F4" w14:paraId="5E2F2196" w14:textId="319EA121">
      <w:pPr>
        <w:shd w:val="clear" w:color="auto" w:fill="FFFFFF" w:themeFill="background1"/>
        <w:spacing w:before="0" w:beforeAutospacing="off" w:after="240" w:afterAutospacing="off"/>
        <w:jc w:val="left"/>
      </w:pPr>
      <w:r w:rsidRPr="2F0F47F5" w:rsidR="1DDBA038">
        <w:rPr>
          <w:rFonts w:ascii="Aptos" w:hAnsi="Aptos" w:eastAsia="Aptos" w:cs="Aptos"/>
          <w:b w:val="0"/>
          <w:bCs w:val="0"/>
          <w:i w:val="0"/>
          <w:iCs w:val="0"/>
          <w:caps w:val="0"/>
          <w:smallCaps w:val="0"/>
          <w:noProof w:val="0"/>
          <w:color w:val="4C5A73"/>
          <w:sz w:val="24"/>
          <w:szCs w:val="24"/>
          <w:lang w:val="en-US"/>
        </w:rPr>
        <w:t xml:space="preserve"> </w:t>
      </w:r>
      <w:r w:rsidRPr="2F0F47F5" w:rsidR="1DDBA038">
        <w:rPr>
          <w:rFonts w:ascii="Aptos" w:hAnsi="Aptos" w:eastAsia="Aptos" w:cs="Aptos"/>
          <w:b w:val="0"/>
          <w:bCs w:val="0"/>
          <w:i w:val="0"/>
          <w:iCs w:val="0"/>
          <w:caps w:val="0"/>
          <w:smallCaps w:val="0"/>
          <w:noProof w:val="0"/>
          <w:color w:val="4C5A73"/>
          <w:sz w:val="24"/>
          <w:szCs w:val="24"/>
          <w:lang w:val="en-GB"/>
        </w:rPr>
        <w:t xml:space="preserve"> </w:t>
      </w:r>
    </w:p>
    <w:p w:rsidR="005040F4" w:rsidP="2F0F47F5" w:rsidRDefault="005040F4" w14:paraId="7874EA23" w14:textId="236C130B">
      <w:pPr>
        <w:shd w:val="clear" w:color="auto" w:fill="FFFFFF" w:themeFill="background1"/>
        <w:spacing w:before="0" w:beforeAutospacing="off" w:after="240" w:afterAutospacing="off"/>
        <w:jc w:val="left"/>
      </w:pPr>
      <w:r w:rsidRPr="2F0F47F5" w:rsidR="1DDBA038">
        <w:rPr>
          <w:rFonts w:ascii="Aptos" w:hAnsi="Aptos" w:eastAsia="Aptos" w:cs="Aptos"/>
          <w:b w:val="1"/>
          <w:bCs w:val="1"/>
          <w:i w:val="0"/>
          <w:iCs w:val="0"/>
          <w:caps w:val="0"/>
          <w:smallCaps w:val="0"/>
          <w:noProof w:val="0"/>
          <w:color w:val="4C5A73"/>
          <w:sz w:val="24"/>
          <w:szCs w:val="24"/>
          <w:u w:val="single"/>
          <w:lang w:val="en-US"/>
        </w:rPr>
        <w:t>References</w:t>
      </w:r>
    </w:p>
    <w:p w:rsidR="005040F4" w:rsidP="2F0F47F5" w:rsidRDefault="005040F4" w14:paraId="1403E754" w14:textId="622163FD">
      <w:pPr>
        <w:shd w:val="clear" w:color="auto" w:fill="FFFFFF" w:themeFill="background1"/>
        <w:spacing w:before="0" w:beforeAutospacing="off" w:after="240" w:afterAutospacing="off"/>
        <w:jc w:val="left"/>
      </w:pPr>
      <w:r w:rsidRPr="2F0F47F5" w:rsidR="1DDBA038">
        <w:rPr>
          <w:rFonts w:ascii="Aptos" w:hAnsi="Aptos" w:eastAsia="Aptos" w:cs="Aptos"/>
          <w:b w:val="0"/>
          <w:bCs w:val="0"/>
          <w:i w:val="0"/>
          <w:iCs w:val="0"/>
          <w:caps w:val="0"/>
          <w:smallCaps w:val="0"/>
          <w:noProof w:val="0"/>
          <w:color w:val="4C5A73"/>
          <w:sz w:val="24"/>
          <w:szCs w:val="24"/>
          <w:lang w:val="en-GB"/>
        </w:rPr>
        <w:t xml:space="preserve">Abrami, P. C., Bernard, R. M., Borokhovski, E., Waddington, D. I., Wade, C. A., &amp; Persson, T. (2015). Strategies for teaching students to think critically: A meta-analysis. </w:t>
      </w:r>
      <w:r w:rsidRPr="2F0F47F5" w:rsidR="1DDBA038">
        <w:rPr>
          <w:rFonts w:ascii="Aptos" w:hAnsi="Aptos" w:eastAsia="Aptos" w:cs="Aptos"/>
          <w:b w:val="0"/>
          <w:bCs w:val="0"/>
          <w:i w:val="1"/>
          <w:iCs w:val="1"/>
          <w:caps w:val="0"/>
          <w:smallCaps w:val="0"/>
          <w:noProof w:val="0"/>
          <w:color w:val="4C5A73"/>
          <w:sz w:val="24"/>
          <w:szCs w:val="24"/>
          <w:lang w:val="en-GB"/>
        </w:rPr>
        <w:t>Review of Educational Research, 85</w:t>
      </w:r>
      <w:r w:rsidRPr="2F0F47F5" w:rsidR="1DDBA038">
        <w:rPr>
          <w:rFonts w:ascii="Aptos" w:hAnsi="Aptos" w:eastAsia="Aptos" w:cs="Aptos"/>
          <w:b w:val="0"/>
          <w:bCs w:val="0"/>
          <w:i w:val="0"/>
          <w:iCs w:val="0"/>
          <w:caps w:val="0"/>
          <w:smallCaps w:val="0"/>
          <w:noProof w:val="0"/>
          <w:color w:val="4C5A73"/>
          <w:sz w:val="24"/>
          <w:szCs w:val="24"/>
          <w:lang w:val="en-GB"/>
        </w:rPr>
        <w:t xml:space="preserve">(2), 275–314. </w:t>
      </w:r>
      <w:hyperlink r:id="R506050c0ef3d4535">
        <w:r w:rsidRPr="2F0F47F5" w:rsidR="1DDBA038">
          <w:rPr>
            <w:rStyle w:val="Hyperlink"/>
            <w:b w:val="1"/>
            <w:bCs w:val="1"/>
            <w:i w:val="0"/>
            <w:iCs w:val="0"/>
            <w:caps w:val="0"/>
            <w:smallCaps w:val="0"/>
            <w:strike w:val="0"/>
            <w:dstrike w:val="0"/>
            <w:noProof w:val="0"/>
            <w:color w:val="622567"/>
            <w:u w:val="single"/>
            <w:lang w:val="en-GB"/>
          </w:rPr>
          <w:t>https://doi.org/10.3102/0034654314551063</w:t>
        </w:r>
      </w:hyperlink>
    </w:p>
    <w:p w:rsidR="005040F4" w:rsidP="2F0F47F5" w:rsidRDefault="005040F4" w14:paraId="3E173798" w14:textId="345CB067">
      <w:pPr>
        <w:shd w:val="clear" w:color="auto" w:fill="FFFFFF" w:themeFill="background1"/>
        <w:spacing w:before="0" w:beforeAutospacing="off" w:after="240" w:afterAutospacing="off"/>
        <w:jc w:val="left"/>
      </w:pPr>
      <w:r w:rsidRPr="2F0F47F5" w:rsidR="1DDBA038">
        <w:rPr>
          <w:rFonts w:ascii="Aptos" w:hAnsi="Aptos" w:eastAsia="Aptos" w:cs="Aptos"/>
          <w:b w:val="0"/>
          <w:bCs w:val="0"/>
          <w:i w:val="0"/>
          <w:iCs w:val="0"/>
          <w:caps w:val="0"/>
          <w:smallCaps w:val="0"/>
          <w:noProof w:val="0"/>
          <w:color w:val="4C5A73"/>
          <w:sz w:val="24"/>
          <w:szCs w:val="24"/>
          <w:lang w:val="en-GB"/>
        </w:rPr>
        <w:t xml:space="preserve">aimClear. (2015, December 3). </w:t>
      </w:r>
      <w:r w:rsidRPr="2F0F47F5" w:rsidR="1DDBA038">
        <w:rPr>
          <w:rFonts w:ascii="Aptos" w:hAnsi="Aptos" w:eastAsia="Aptos" w:cs="Aptos"/>
          <w:b w:val="0"/>
          <w:bCs w:val="0"/>
          <w:i w:val="1"/>
          <w:iCs w:val="1"/>
          <w:caps w:val="0"/>
          <w:smallCaps w:val="0"/>
          <w:noProof w:val="0"/>
          <w:color w:val="4C5A73"/>
          <w:sz w:val="24"/>
          <w:szCs w:val="24"/>
          <w:lang w:val="en-GB"/>
        </w:rPr>
        <w:t>aimClear’s psychographic targeting for political advertising agencies’ WINS</w:t>
      </w:r>
      <w:r w:rsidRPr="2F0F47F5" w:rsidR="1DDBA038">
        <w:rPr>
          <w:rFonts w:ascii="Aptos" w:hAnsi="Aptos" w:eastAsia="Aptos" w:cs="Aptos"/>
          <w:b w:val="0"/>
          <w:bCs w:val="0"/>
          <w:i w:val="0"/>
          <w:iCs w:val="0"/>
          <w:caps w:val="0"/>
          <w:smallCaps w:val="0"/>
          <w:noProof w:val="0"/>
          <w:color w:val="4C5A73"/>
          <w:sz w:val="24"/>
          <w:szCs w:val="24"/>
          <w:lang w:val="en-GB"/>
        </w:rPr>
        <w:t xml:space="preserve">. Search Engine Land. </w:t>
      </w:r>
      <w:hyperlink r:id="R96d9d756b8f64bd7">
        <w:r w:rsidRPr="2F0F47F5" w:rsidR="1DDBA038">
          <w:rPr>
            <w:rStyle w:val="Hyperlink"/>
            <w:b w:val="1"/>
            <w:bCs w:val="1"/>
            <w:i w:val="0"/>
            <w:iCs w:val="0"/>
            <w:caps w:val="0"/>
            <w:smallCaps w:val="0"/>
            <w:strike w:val="0"/>
            <w:dstrike w:val="0"/>
            <w:noProof w:val="0"/>
            <w:color w:val="622567"/>
            <w:u w:val="single"/>
            <w:lang w:val="en-GB"/>
          </w:rPr>
          <w:t>https://searchengineland.com/aimclears-psychographic-targeting-for-political-advertising-agencies-wins-237290</w:t>
        </w:r>
      </w:hyperlink>
    </w:p>
    <w:p w:rsidR="005040F4" w:rsidP="2F0F47F5" w:rsidRDefault="005040F4" w14:paraId="2729DEFC" w14:textId="5151172B">
      <w:pPr>
        <w:shd w:val="clear" w:color="auto" w:fill="FFFFFF" w:themeFill="background1"/>
        <w:spacing w:before="0" w:beforeAutospacing="off" w:after="240" w:afterAutospacing="off"/>
        <w:jc w:val="left"/>
      </w:pPr>
      <w:r w:rsidRPr="2F0F47F5" w:rsidR="1DDBA038">
        <w:rPr>
          <w:rFonts w:ascii="Aptos" w:hAnsi="Aptos" w:eastAsia="Aptos" w:cs="Aptos"/>
          <w:b w:val="0"/>
          <w:bCs w:val="0"/>
          <w:i w:val="0"/>
          <w:iCs w:val="0"/>
          <w:caps w:val="0"/>
          <w:smallCaps w:val="0"/>
          <w:noProof w:val="0"/>
          <w:color w:val="4C5A73"/>
          <w:sz w:val="24"/>
          <w:szCs w:val="24"/>
          <w:lang w:val="en-GB"/>
        </w:rPr>
        <w:t xml:space="preserve">Grice, H. P. (1975). Logic and conversation. In P. Cole &amp; J. L. Morgan (Eds.), </w:t>
      </w:r>
      <w:r w:rsidRPr="2F0F47F5" w:rsidR="1DDBA038">
        <w:rPr>
          <w:rFonts w:ascii="Aptos" w:hAnsi="Aptos" w:eastAsia="Aptos" w:cs="Aptos"/>
          <w:b w:val="0"/>
          <w:bCs w:val="0"/>
          <w:i w:val="1"/>
          <w:iCs w:val="1"/>
          <w:caps w:val="0"/>
          <w:smallCaps w:val="0"/>
          <w:noProof w:val="0"/>
          <w:color w:val="4C5A73"/>
          <w:sz w:val="24"/>
          <w:szCs w:val="24"/>
          <w:lang w:val="en-GB"/>
        </w:rPr>
        <w:t>Syntax and semantics: Vol. 3. Speech acts</w:t>
      </w:r>
      <w:r w:rsidRPr="2F0F47F5" w:rsidR="1DDBA038">
        <w:rPr>
          <w:rFonts w:ascii="Aptos" w:hAnsi="Aptos" w:eastAsia="Aptos" w:cs="Aptos"/>
          <w:b w:val="0"/>
          <w:bCs w:val="0"/>
          <w:i w:val="0"/>
          <w:iCs w:val="0"/>
          <w:caps w:val="0"/>
          <w:smallCaps w:val="0"/>
          <w:noProof w:val="0"/>
          <w:color w:val="4C5A73"/>
          <w:sz w:val="24"/>
          <w:szCs w:val="24"/>
          <w:lang w:val="en-GB"/>
        </w:rPr>
        <w:t xml:space="preserve"> (pp. 41–58). Academic Press.</w:t>
      </w:r>
    </w:p>
    <w:p w:rsidR="005040F4" w:rsidP="2F0F47F5" w:rsidRDefault="005040F4" w14:paraId="6DEC414F" w14:textId="505E0FAD">
      <w:pPr>
        <w:shd w:val="clear" w:color="auto" w:fill="FFFFFF" w:themeFill="background1"/>
        <w:spacing w:before="0" w:beforeAutospacing="off" w:after="240" w:afterAutospacing="off"/>
        <w:jc w:val="left"/>
      </w:pPr>
      <w:r w:rsidRPr="2F0F47F5" w:rsidR="1DDBA038">
        <w:rPr>
          <w:rFonts w:ascii="Aptos" w:hAnsi="Aptos" w:eastAsia="Aptos" w:cs="Aptos"/>
          <w:b w:val="0"/>
          <w:bCs w:val="0"/>
          <w:i w:val="0"/>
          <w:iCs w:val="0"/>
          <w:caps w:val="0"/>
          <w:smallCaps w:val="0"/>
          <w:noProof w:val="0"/>
          <w:color w:val="4C5A73"/>
          <w:sz w:val="24"/>
          <w:szCs w:val="24"/>
          <w:lang w:val="en-GB"/>
        </w:rPr>
        <w:t xml:space="preserve">Halpern, D. F. (1998). Teaching critical thinking for transfer across domains: Dispositions, skills, structure training, and metacognitive monitoring. </w:t>
      </w:r>
      <w:r w:rsidRPr="2F0F47F5" w:rsidR="1DDBA038">
        <w:rPr>
          <w:rFonts w:ascii="Aptos" w:hAnsi="Aptos" w:eastAsia="Aptos" w:cs="Aptos"/>
          <w:b w:val="0"/>
          <w:bCs w:val="0"/>
          <w:i w:val="1"/>
          <w:iCs w:val="1"/>
          <w:caps w:val="0"/>
          <w:smallCaps w:val="0"/>
          <w:noProof w:val="0"/>
          <w:color w:val="4C5A73"/>
          <w:sz w:val="24"/>
          <w:szCs w:val="24"/>
          <w:lang w:val="de"/>
        </w:rPr>
        <w:t>American Psychologist, 53</w:t>
      </w:r>
      <w:r w:rsidRPr="2F0F47F5" w:rsidR="1DDBA038">
        <w:rPr>
          <w:rFonts w:ascii="Aptos" w:hAnsi="Aptos" w:eastAsia="Aptos" w:cs="Aptos"/>
          <w:b w:val="0"/>
          <w:bCs w:val="0"/>
          <w:i w:val="0"/>
          <w:iCs w:val="0"/>
          <w:caps w:val="0"/>
          <w:smallCaps w:val="0"/>
          <w:noProof w:val="0"/>
          <w:color w:val="4C5A73"/>
          <w:sz w:val="24"/>
          <w:szCs w:val="24"/>
          <w:lang w:val="de"/>
        </w:rPr>
        <w:t xml:space="preserve">(4), 449–455. </w:t>
      </w:r>
      <w:hyperlink r:id="Rd10e8f37e5ad4aa3">
        <w:r w:rsidRPr="2F0F47F5" w:rsidR="1DDBA038">
          <w:rPr>
            <w:rStyle w:val="Hyperlink"/>
            <w:b w:val="1"/>
            <w:bCs w:val="1"/>
            <w:i w:val="0"/>
            <w:iCs w:val="0"/>
            <w:caps w:val="0"/>
            <w:smallCaps w:val="0"/>
            <w:strike w:val="0"/>
            <w:dstrike w:val="0"/>
            <w:noProof w:val="0"/>
            <w:color w:val="622567"/>
            <w:u w:val="single"/>
            <w:lang w:val="de"/>
          </w:rPr>
          <w:t>https://doi.org/10.1037/0003-066X.53.4.449</w:t>
        </w:r>
      </w:hyperlink>
    </w:p>
    <w:p w:rsidR="005040F4" w:rsidP="2F0F47F5" w:rsidRDefault="005040F4" w14:paraId="28D88DF4" w14:textId="1481198A">
      <w:pPr>
        <w:shd w:val="clear" w:color="auto" w:fill="FFFFFF" w:themeFill="background1"/>
        <w:spacing w:before="0" w:beforeAutospacing="off" w:after="240" w:afterAutospacing="off"/>
        <w:jc w:val="left"/>
      </w:pPr>
      <w:r w:rsidRPr="2F0F47F5" w:rsidR="1DDBA038">
        <w:rPr>
          <w:rFonts w:ascii="Aptos" w:hAnsi="Aptos" w:eastAsia="Aptos" w:cs="Aptos"/>
          <w:b w:val="0"/>
          <w:bCs w:val="0"/>
          <w:i w:val="0"/>
          <w:iCs w:val="0"/>
          <w:caps w:val="0"/>
          <w:smallCaps w:val="0"/>
          <w:noProof w:val="0"/>
          <w:color w:val="4C5A73"/>
          <w:sz w:val="24"/>
          <w:szCs w:val="24"/>
          <w:lang w:val="de"/>
        </w:rPr>
        <w:t xml:space="preserve">Halpern, D. F., &amp; Dunn, D. S. (2023). </w:t>
      </w:r>
      <w:r w:rsidRPr="2F0F47F5" w:rsidR="1DDBA038">
        <w:rPr>
          <w:rFonts w:ascii="Aptos" w:hAnsi="Aptos" w:eastAsia="Aptos" w:cs="Aptos"/>
          <w:b w:val="0"/>
          <w:bCs w:val="0"/>
          <w:i w:val="1"/>
          <w:iCs w:val="1"/>
          <w:caps w:val="0"/>
          <w:smallCaps w:val="0"/>
          <w:noProof w:val="0"/>
          <w:color w:val="4C5A73"/>
          <w:sz w:val="24"/>
          <w:szCs w:val="24"/>
          <w:lang w:val="en-GB"/>
        </w:rPr>
        <w:t>Thought and knowledge: An introduction to critical thinking</w:t>
      </w:r>
      <w:r w:rsidRPr="2F0F47F5" w:rsidR="1DDBA038">
        <w:rPr>
          <w:rFonts w:ascii="Aptos" w:hAnsi="Aptos" w:eastAsia="Aptos" w:cs="Aptos"/>
          <w:b w:val="0"/>
          <w:bCs w:val="0"/>
          <w:i w:val="0"/>
          <w:iCs w:val="0"/>
          <w:caps w:val="0"/>
          <w:smallCaps w:val="0"/>
          <w:noProof w:val="0"/>
          <w:color w:val="4C5A73"/>
          <w:sz w:val="24"/>
          <w:szCs w:val="24"/>
          <w:lang w:val="en-GB"/>
        </w:rPr>
        <w:t xml:space="preserve"> (6th ed.). Routledge.</w:t>
      </w:r>
    </w:p>
    <w:p w:rsidR="005040F4" w:rsidP="2F0F47F5" w:rsidRDefault="005040F4" w14:paraId="5E35F84A" w14:textId="1AAC42C0">
      <w:pPr>
        <w:shd w:val="clear" w:color="auto" w:fill="FFFFFF" w:themeFill="background1"/>
        <w:spacing w:before="0" w:beforeAutospacing="off" w:after="240" w:afterAutospacing="off"/>
        <w:jc w:val="left"/>
      </w:pPr>
      <w:r w:rsidRPr="2F0F47F5" w:rsidR="1DDBA038">
        <w:rPr>
          <w:rFonts w:ascii="Aptos" w:hAnsi="Aptos" w:eastAsia="Aptos" w:cs="Aptos"/>
          <w:b w:val="0"/>
          <w:bCs w:val="0"/>
          <w:i w:val="0"/>
          <w:iCs w:val="0"/>
          <w:caps w:val="0"/>
          <w:smallCaps w:val="0"/>
          <w:noProof w:val="0"/>
          <w:color w:val="4C5A73"/>
          <w:sz w:val="24"/>
          <w:szCs w:val="24"/>
          <w:lang w:val="en-GB"/>
        </w:rPr>
        <w:t xml:space="preserve">Niu, L., Behar-Horenstein, L. S., &amp; Garvan, C. W. (2013). Do instructional interventions influence college students’ critical thinking skills? A meta-analysis. </w:t>
      </w:r>
      <w:r w:rsidRPr="2F0F47F5" w:rsidR="1DDBA038">
        <w:rPr>
          <w:rFonts w:ascii="Aptos" w:hAnsi="Aptos" w:eastAsia="Aptos" w:cs="Aptos"/>
          <w:b w:val="0"/>
          <w:bCs w:val="0"/>
          <w:i w:val="1"/>
          <w:iCs w:val="1"/>
          <w:caps w:val="0"/>
          <w:smallCaps w:val="0"/>
          <w:noProof w:val="0"/>
          <w:color w:val="4C5A73"/>
          <w:sz w:val="24"/>
          <w:szCs w:val="24"/>
          <w:lang w:val="en-GB"/>
        </w:rPr>
        <w:t>Educational Research Review, 9</w:t>
      </w:r>
      <w:r w:rsidRPr="2F0F47F5" w:rsidR="1DDBA038">
        <w:rPr>
          <w:rFonts w:ascii="Aptos" w:hAnsi="Aptos" w:eastAsia="Aptos" w:cs="Aptos"/>
          <w:b w:val="0"/>
          <w:bCs w:val="0"/>
          <w:i w:val="0"/>
          <w:iCs w:val="0"/>
          <w:caps w:val="0"/>
          <w:smallCaps w:val="0"/>
          <w:noProof w:val="0"/>
          <w:color w:val="4C5A73"/>
          <w:sz w:val="24"/>
          <w:szCs w:val="24"/>
          <w:lang w:val="en-GB"/>
        </w:rPr>
        <w:t xml:space="preserve">, 114–128. </w:t>
      </w:r>
      <w:hyperlink r:id="R422c27b86cfc498e">
        <w:r w:rsidRPr="2F0F47F5" w:rsidR="1DDBA038">
          <w:rPr>
            <w:rStyle w:val="Hyperlink"/>
            <w:b w:val="1"/>
            <w:bCs w:val="1"/>
            <w:i w:val="0"/>
            <w:iCs w:val="0"/>
            <w:caps w:val="0"/>
            <w:smallCaps w:val="0"/>
            <w:strike w:val="0"/>
            <w:dstrike w:val="0"/>
            <w:noProof w:val="0"/>
            <w:color w:val="622567"/>
            <w:u w:val="single"/>
            <w:lang w:val="en-GB"/>
          </w:rPr>
          <w:t>https://doi.org/10.1016/j.edurev.2012.12.002</w:t>
        </w:r>
      </w:hyperlink>
    </w:p>
    <w:p w:rsidR="005040F4" w:rsidRDefault="005040F4" w14:paraId="4FEEC329" w14:textId="6700AED2"/>
    <w:p w:rsidR="005040F4" w:rsidRDefault="005040F4" w14:paraId="3A262A2A" w14:textId="667D9E77">
      <w:r w:rsidR="1DDBA038">
        <w:rPr/>
        <w:t>--</w:t>
      </w:r>
      <w:r>
        <w:br/>
      </w:r>
      <w:r>
        <w:br/>
      </w:r>
      <w:r w:rsidR="5CB8A3C7">
        <w:rPr/>
        <w:t>PR1:</w:t>
      </w:r>
      <w:r>
        <w:br/>
      </w:r>
    </w:p>
    <w:p w:rsidR="005040F4" w:rsidP="2F0F47F5" w:rsidRDefault="005040F4" w14:paraId="5E5787A5" w14:textId="177DD1FC">
      <w:pPr>
        <w:pStyle w:val="Normal"/>
      </w:pPr>
      <w:r w:rsidRPr="2F0F47F5" w:rsidR="11EF8DF5">
        <w:rPr>
          <w:rFonts w:ascii="Aptos" w:hAnsi="Aptos" w:eastAsia="Aptos" w:cs="Aptos"/>
          <w:b w:val="0"/>
          <w:bCs w:val="0"/>
          <w:i w:val="0"/>
          <w:iCs w:val="0"/>
          <w:caps w:val="0"/>
          <w:smallCaps w:val="0"/>
          <w:noProof w:val="0"/>
          <w:color w:val="4C5A73"/>
          <w:sz w:val="24"/>
          <w:szCs w:val="24"/>
          <w:lang w:val="en-GB"/>
        </w:rPr>
        <w:t>Peer Response 1</w:t>
      </w:r>
      <w:r>
        <w:br/>
      </w:r>
      <w:r>
        <w:br/>
      </w:r>
      <w:r w:rsidRPr="2F0F47F5" w:rsidR="11EF8DF5">
        <w:rPr>
          <w:rFonts w:ascii="Aptos" w:hAnsi="Aptos" w:eastAsia="Aptos" w:cs="Aptos"/>
          <w:b w:val="0"/>
          <w:bCs w:val="0"/>
          <w:i w:val="0"/>
          <w:iCs w:val="0"/>
          <w:caps w:val="0"/>
          <w:smallCaps w:val="0"/>
          <w:noProof w:val="0"/>
          <w:color w:val="4C5A73"/>
          <w:sz w:val="24"/>
          <w:szCs w:val="24"/>
          <w:lang w:val="en-GB"/>
        </w:rPr>
        <w:t xml:space="preserve">Your differentiation between the possible risks of Grice’s maxims and the possible benefits of targeted relevance was particularly convincing. I assent that psychographic targeting does not necessarily violate the Cooperative Principle, as personalised communication may fulfil the maxim of Relation by addressing issues that are relevant to a certain audience. Your critical consideration of the </w:t>
      </w:r>
      <w:r w:rsidRPr="2F0F47F5" w:rsidR="11EF8DF5">
        <w:rPr>
          <w:rFonts w:ascii="Aptos" w:hAnsi="Aptos" w:eastAsia="Aptos" w:cs="Aptos"/>
          <w:b w:val="0"/>
          <w:bCs w:val="0"/>
          <w:i w:val="0"/>
          <w:iCs w:val="0"/>
          <w:caps w:val="0"/>
          <w:smallCaps w:val="0"/>
          <w:noProof w:val="0"/>
          <w:color w:val="4C5A73"/>
          <w:sz w:val="24"/>
          <w:szCs w:val="24"/>
          <w:lang w:val="en-GB"/>
        </w:rPr>
        <w:t>aimClear</w:t>
      </w:r>
      <w:r w:rsidRPr="2F0F47F5" w:rsidR="11EF8DF5">
        <w:rPr>
          <w:rFonts w:ascii="Aptos" w:hAnsi="Aptos" w:eastAsia="Aptos" w:cs="Aptos"/>
          <w:b w:val="0"/>
          <w:bCs w:val="0"/>
          <w:i w:val="0"/>
          <w:iCs w:val="0"/>
          <w:caps w:val="0"/>
          <w:smallCaps w:val="0"/>
          <w:noProof w:val="0"/>
          <w:color w:val="4C5A73"/>
          <w:sz w:val="24"/>
          <w:szCs w:val="24"/>
          <w:lang w:val="en-GB"/>
        </w:rPr>
        <w:t xml:space="preserve"> post as sponsored material is also crucial, as this gives a reason to assess its claims with caution rather than seeing it as independent evidence.</w:t>
      </w:r>
      <w:r>
        <w:br/>
      </w:r>
      <w:r>
        <w:br/>
      </w:r>
      <w:r w:rsidRPr="2F0F47F5" w:rsidR="11EF8DF5">
        <w:rPr>
          <w:rFonts w:ascii="Aptos" w:hAnsi="Aptos" w:eastAsia="Aptos" w:cs="Aptos"/>
          <w:b w:val="0"/>
          <w:bCs w:val="0"/>
          <w:i w:val="0"/>
          <w:iCs w:val="0"/>
          <w:caps w:val="0"/>
          <w:smallCaps w:val="0"/>
          <w:noProof w:val="0"/>
          <w:color w:val="4C5A73"/>
          <w:sz w:val="24"/>
          <w:szCs w:val="24"/>
          <w:lang w:val="en-GB"/>
        </w:rPr>
        <w:t xml:space="preserve">Yet, is applying the Maxim of Quantity to targeted political advertising as simple as it seems? You state that when </w:t>
      </w:r>
      <w:r w:rsidRPr="2F0F47F5" w:rsidR="11EF8DF5">
        <w:rPr>
          <w:rFonts w:ascii="Aptos" w:hAnsi="Aptos" w:eastAsia="Aptos" w:cs="Aptos"/>
          <w:b w:val="0"/>
          <w:bCs w:val="0"/>
          <w:i w:val="0"/>
          <w:iCs w:val="0"/>
          <w:caps w:val="0"/>
          <w:smallCaps w:val="0"/>
          <w:noProof w:val="0"/>
          <w:color w:val="4C5A73"/>
          <w:sz w:val="24"/>
          <w:szCs w:val="24"/>
          <w:lang w:val="en-GB"/>
        </w:rPr>
        <w:t>different groups</w:t>
      </w:r>
      <w:r w:rsidRPr="2F0F47F5" w:rsidR="11EF8DF5">
        <w:rPr>
          <w:rFonts w:ascii="Aptos" w:hAnsi="Aptos" w:eastAsia="Aptos" w:cs="Aptos"/>
          <w:b w:val="0"/>
          <w:bCs w:val="0"/>
          <w:i w:val="0"/>
          <w:iCs w:val="0"/>
          <w:caps w:val="0"/>
          <w:smallCaps w:val="0"/>
          <w:noProof w:val="0"/>
          <w:color w:val="4C5A73"/>
          <w:sz w:val="24"/>
          <w:szCs w:val="24"/>
          <w:lang w:val="en-GB"/>
        </w:rPr>
        <w:t xml:space="preserve"> are given different information, voters might not receive the “full picture.” However, Quantity is whether sufficient information is given for the specific exchanges aim (Grice, 1975). Therefore, individual advertisements could give enough information to communicate the immediate message whilst adding to a wider context where voters receive scattered representations of candidates. This brings up a compelling point of whether communication that happens across several targeted messages rather than within a single exchange can be sufficiently addressed by Grice’s principles, which were originally created to explain conversational communication.</w:t>
      </w:r>
      <w:r>
        <w:br/>
      </w:r>
      <w:r>
        <w:br/>
      </w:r>
      <w:r w:rsidRPr="2F0F47F5" w:rsidR="11EF8DF5">
        <w:rPr>
          <w:rFonts w:ascii="Aptos" w:hAnsi="Aptos" w:eastAsia="Aptos" w:cs="Aptos"/>
          <w:b w:val="0"/>
          <w:bCs w:val="0"/>
          <w:i w:val="0"/>
          <w:iCs w:val="0"/>
          <w:caps w:val="0"/>
          <w:smallCaps w:val="0"/>
          <w:noProof w:val="0"/>
          <w:color w:val="4C5A73"/>
          <w:sz w:val="24"/>
          <w:szCs w:val="24"/>
          <w:lang w:val="en-GB"/>
        </w:rPr>
        <w:t xml:space="preserve">Also, I found your reference to Marin and Halpern (2011) especially relevant. Their idea that explicit instruction led to larger improvements in </w:t>
      </w:r>
      <w:r w:rsidRPr="2F0F47F5" w:rsidR="11EF8DF5">
        <w:rPr>
          <w:rFonts w:ascii="Aptos" w:hAnsi="Aptos" w:eastAsia="Aptos" w:cs="Aptos"/>
          <w:b w:val="0"/>
          <w:bCs w:val="0"/>
          <w:i w:val="0"/>
          <w:iCs w:val="0"/>
          <w:caps w:val="0"/>
          <w:smallCaps w:val="0"/>
          <w:noProof w:val="0"/>
          <w:color w:val="4C5A73"/>
          <w:sz w:val="24"/>
          <w:szCs w:val="24"/>
          <w:lang w:val="en-GB"/>
        </w:rPr>
        <w:t>critical-thinking</w:t>
      </w:r>
      <w:r w:rsidRPr="2F0F47F5" w:rsidR="11EF8DF5">
        <w:rPr>
          <w:rFonts w:ascii="Aptos" w:hAnsi="Aptos" w:eastAsia="Aptos" w:cs="Aptos"/>
          <w:b w:val="0"/>
          <w:bCs w:val="0"/>
          <w:i w:val="0"/>
          <w:iCs w:val="0"/>
          <w:caps w:val="0"/>
          <w:smallCaps w:val="0"/>
          <w:noProof w:val="0"/>
          <w:color w:val="4C5A73"/>
          <w:sz w:val="24"/>
          <w:szCs w:val="24"/>
          <w:lang w:val="en-GB"/>
        </w:rPr>
        <w:t xml:space="preserve"> supports the concept that these skills can be purposefully developed. However, this raises another issue for political advertising agencies: does improving </w:t>
      </w:r>
      <w:r w:rsidRPr="2F0F47F5" w:rsidR="11EF8DF5">
        <w:rPr>
          <w:rFonts w:ascii="Aptos" w:hAnsi="Aptos" w:eastAsia="Aptos" w:cs="Aptos"/>
          <w:b w:val="0"/>
          <w:bCs w:val="0"/>
          <w:i w:val="0"/>
          <w:iCs w:val="0"/>
          <w:caps w:val="0"/>
          <w:smallCaps w:val="0"/>
          <w:noProof w:val="0"/>
          <w:color w:val="4C5A73"/>
          <w:sz w:val="24"/>
          <w:szCs w:val="24"/>
          <w:lang w:val="en-GB"/>
        </w:rPr>
        <w:t>critical-thinking</w:t>
      </w:r>
      <w:r w:rsidRPr="2F0F47F5" w:rsidR="11EF8DF5">
        <w:rPr>
          <w:rFonts w:ascii="Aptos" w:hAnsi="Aptos" w:eastAsia="Aptos" w:cs="Aptos"/>
          <w:b w:val="0"/>
          <w:bCs w:val="0"/>
          <w:i w:val="0"/>
          <w:iCs w:val="0"/>
          <w:caps w:val="0"/>
          <w:smallCaps w:val="0"/>
          <w:noProof w:val="0"/>
          <w:color w:val="4C5A73"/>
          <w:sz w:val="24"/>
          <w:szCs w:val="24"/>
          <w:lang w:val="en-GB"/>
        </w:rPr>
        <w:t xml:space="preserve"> necessarily mean more cooperative communication? Agencies could specifically develop employees’ skills to </w:t>
      </w:r>
      <w:r w:rsidRPr="2F0F47F5" w:rsidR="11EF8DF5">
        <w:rPr>
          <w:rFonts w:ascii="Aptos" w:hAnsi="Aptos" w:eastAsia="Aptos" w:cs="Aptos"/>
          <w:b w:val="0"/>
          <w:bCs w:val="0"/>
          <w:i w:val="0"/>
          <w:iCs w:val="0"/>
          <w:caps w:val="0"/>
          <w:smallCaps w:val="0"/>
          <w:noProof w:val="0"/>
          <w:color w:val="4C5A73"/>
          <w:sz w:val="24"/>
          <w:szCs w:val="24"/>
          <w:lang w:val="en-GB"/>
        </w:rPr>
        <w:t>identify</w:t>
      </w:r>
      <w:r w:rsidRPr="2F0F47F5" w:rsidR="11EF8DF5">
        <w:rPr>
          <w:rFonts w:ascii="Aptos" w:hAnsi="Aptos" w:eastAsia="Aptos" w:cs="Aptos"/>
          <w:b w:val="0"/>
          <w:bCs w:val="0"/>
          <w:i w:val="0"/>
          <w:iCs w:val="0"/>
          <w:caps w:val="0"/>
          <w:smallCaps w:val="0"/>
          <w:noProof w:val="0"/>
          <w:color w:val="4C5A73"/>
          <w:sz w:val="24"/>
          <w:szCs w:val="24"/>
          <w:lang w:val="en-GB"/>
        </w:rPr>
        <w:t xml:space="preserve"> psychological characteristics, assess evidence, and test alternative explanations, and then use them to create communications that are more persuasive and selective. In this regard, critical thinking can improve an agency’s reasoning without necessarily </w:t>
      </w:r>
      <w:r w:rsidRPr="2F0F47F5" w:rsidR="11EF8DF5">
        <w:rPr>
          <w:rFonts w:ascii="Aptos" w:hAnsi="Aptos" w:eastAsia="Aptos" w:cs="Aptos"/>
          <w:b w:val="0"/>
          <w:bCs w:val="0"/>
          <w:i w:val="0"/>
          <w:iCs w:val="0"/>
          <w:caps w:val="0"/>
          <w:smallCaps w:val="0"/>
          <w:noProof w:val="0"/>
          <w:color w:val="4C5A73"/>
          <w:sz w:val="24"/>
          <w:szCs w:val="24"/>
          <w:lang w:val="en-GB"/>
        </w:rPr>
        <w:t>determining</w:t>
      </w:r>
      <w:r w:rsidRPr="2F0F47F5" w:rsidR="11EF8DF5">
        <w:rPr>
          <w:rFonts w:ascii="Aptos" w:hAnsi="Aptos" w:eastAsia="Aptos" w:cs="Aptos"/>
          <w:b w:val="0"/>
          <w:bCs w:val="0"/>
          <w:i w:val="0"/>
          <w:iCs w:val="0"/>
          <w:caps w:val="0"/>
          <w:smallCaps w:val="0"/>
          <w:noProof w:val="0"/>
          <w:color w:val="4C5A73"/>
          <w:sz w:val="24"/>
          <w:szCs w:val="24"/>
          <w:lang w:val="en-GB"/>
        </w:rPr>
        <w:t xml:space="preserve"> how cooperatively or ethically that reasoning is implemented.</w:t>
      </w:r>
      <w:r>
        <w:br/>
      </w:r>
      <w:r>
        <w:br/>
      </w:r>
      <w:r w:rsidRPr="2F0F47F5" w:rsidR="11EF8DF5">
        <w:rPr>
          <w:rFonts w:ascii="Aptos" w:hAnsi="Aptos" w:eastAsia="Aptos" w:cs="Aptos"/>
          <w:b w:val="0"/>
          <w:bCs w:val="0"/>
          <w:i w:val="0"/>
          <w:iCs w:val="0"/>
          <w:caps w:val="0"/>
          <w:smallCaps w:val="0"/>
          <w:noProof w:val="0"/>
          <w:color w:val="4C5A73"/>
          <w:sz w:val="24"/>
          <w:szCs w:val="24"/>
          <w:lang w:val="en-GB"/>
        </w:rPr>
        <w:t>Thus, your overall argument that Grice and Halpern provide complimentary viewpoints is especially compelling, although I question whether Grice alone offers an adequate standard for assessing transparency in modern targeted political communication.</w:t>
      </w:r>
      <w:r>
        <w:br/>
      </w:r>
      <w:r>
        <w:br/>
      </w:r>
      <w:r>
        <w:br/>
      </w:r>
      <w:r w:rsidRPr="2F0F47F5" w:rsidR="11EF8DF5">
        <w:rPr>
          <w:rFonts w:ascii="Aptos" w:hAnsi="Aptos" w:eastAsia="Aptos" w:cs="Aptos"/>
          <w:b w:val="0"/>
          <w:bCs w:val="0"/>
          <w:i w:val="0"/>
          <w:iCs w:val="0"/>
          <w:caps w:val="0"/>
          <w:smallCaps w:val="0"/>
          <w:noProof w:val="0"/>
          <w:color w:val="4C5A73"/>
          <w:sz w:val="24"/>
          <w:szCs w:val="24"/>
          <w:lang w:val="en-GB"/>
        </w:rPr>
        <w:t>References</w:t>
      </w:r>
      <w:r>
        <w:br/>
      </w:r>
      <w:r w:rsidRPr="2F0F47F5" w:rsidR="11EF8DF5">
        <w:rPr>
          <w:rFonts w:ascii="Aptos" w:hAnsi="Aptos" w:eastAsia="Aptos" w:cs="Aptos"/>
          <w:b w:val="0"/>
          <w:bCs w:val="0"/>
          <w:i w:val="0"/>
          <w:iCs w:val="0"/>
          <w:caps w:val="0"/>
          <w:smallCaps w:val="0"/>
          <w:noProof w:val="0"/>
          <w:color w:val="4C5A73"/>
          <w:sz w:val="24"/>
          <w:szCs w:val="24"/>
          <w:lang w:val="en-GB"/>
        </w:rPr>
        <w:t xml:space="preserve">Grice, H. P. (1975). Logic and conversation. In P. Cole &amp; J. L. Morgan (Eds.), </w:t>
      </w:r>
      <w:r w:rsidRPr="2F0F47F5" w:rsidR="11EF8DF5">
        <w:rPr>
          <w:rFonts w:ascii="Aptos" w:hAnsi="Aptos" w:eastAsia="Aptos" w:cs="Aptos"/>
          <w:b w:val="0"/>
          <w:bCs w:val="0"/>
          <w:i w:val="0"/>
          <w:iCs w:val="0"/>
          <w:caps w:val="0"/>
          <w:smallCaps w:val="0"/>
          <w:noProof w:val="0"/>
          <w:color w:val="4C5A73"/>
          <w:sz w:val="24"/>
          <w:szCs w:val="24"/>
          <w:lang w:val="en-GB"/>
        </w:rPr>
        <w:t>Syntax</w:t>
      </w:r>
      <w:r w:rsidRPr="2F0F47F5" w:rsidR="11EF8DF5">
        <w:rPr>
          <w:rFonts w:ascii="Aptos" w:hAnsi="Aptos" w:eastAsia="Aptos" w:cs="Aptos"/>
          <w:b w:val="0"/>
          <w:bCs w:val="0"/>
          <w:i w:val="0"/>
          <w:iCs w:val="0"/>
          <w:caps w:val="0"/>
          <w:smallCaps w:val="0"/>
          <w:noProof w:val="0"/>
          <w:color w:val="4C5A73"/>
          <w:sz w:val="24"/>
          <w:szCs w:val="24"/>
          <w:lang w:val="en-GB"/>
        </w:rPr>
        <w:t xml:space="preserve"> and semantics: Vol. 3. Speech acts (pp. 41–58). Academic Press.</w:t>
      </w:r>
      <w:r>
        <w:br/>
      </w:r>
      <w:r>
        <w:br/>
      </w:r>
      <w:r w:rsidRPr="2F0F47F5" w:rsidR="11EF8DF5">
        <w:rPr>
          <w:rFonts w:ascii="Aptos" w:hAnsi="Aptos" w:eastAsia="Aptos" w:cs="Aptos"/>
          <w:b w:val="0"/>
          <w:bCs w:val="0"/>
          <w:i w:val="0"/>
          <w:iCs w:val="0"/>
          <w:caps w:val="0"/>
          <w:smallCaps w:val="0"/>
          <w:noProof w:val="0"/>
          <w:color w:val="4C5A73"/>
          <w:sz w:val="24"/>
          <w:szCs w:val="24"/>
          <w:lang w:val="en-GB"/>
        </w:rPr>
        <w:t xml:space="preserve">Marin, L. M., &amp; Halpern, D. F. (2011). Pedagogy for developing critical thinking in adolescents: Explicit instruction produces greatest gains. Thinking Skills and Creativity, 6(1), 1–13. </w:t>
      </w:r>
      <w:hyperlink r:id="Rba52a10a348149bb">
        <w:r w:rsidRPr="2F0F47F5" w:rsidR="11EF8DF5">
          <w:rPr>
            <w:rStyle w:val="Hyperlink"/>
            <w:b w:val="0"/>
            <w:bCs w:val="0"/>
            <w:i w:val="0"/>
            <w:iCs w:val="0"/>
            <w:caps w:val="0"/>
            <w:smallCaps w:val="0"/>
            <w:noProof w:val="0"/>
            <w:lang w:val="en-GB"/>
          </w:rPr>
          <w:t>https://doi.org/10.1016/j.tsc.2010.08.002</w:t>
        </w:r>
      </w:hyperlink>
      <w:r>
        <w:br/>
      </w:r>
      <w:r>
        <w:br/>
      </w:r>
      <w:r w:rsidRPr="2F0F47F5" w:rsidR="7028BA5E">
        <w:rPr>
          <w:rFonts w:ascii="Aptos" w:hAnsi="Aptos" w:eastAsia="Aptos" w:cs="Aptos"/>
          <w:b w:val="0"/>
          <w:bCs w:val="0"/>
          <w:i w:val="0"/>
          <w:iCs w:val="0"/>
          <w:caps w:val="0"/>
          <w:smallCaps w:val="0"/>
          <w:noProof w:val="0"/>
          <w:color w:val="4C5A73"/>
          <w:sz w:val="24"/>
          <w:szCs w:val="24"/>
          <w:lang w:val="en-GB"/>
        </w:rPr>
        <w:t>--</w:t>
      </w:r>
      <w:r>
        <w:br/>
      </w:r>
      <w:r>
        <w:br/>
      </w:r>
      <w:r w:rsidRPr="2F0F47F5" w:rsidR="06444B56">
        <w:rPr>
          <w:rFonts w:ascii="Aptos" w:hAnsi="Aptos" w:eastAsia="Aptos" w:cs="Aptos"/>
          <w:b w:val="0"/>
          <w:bCs w:val="0"/>
          <w:i w:val="0"/>
          <w:iCs w:val="0"/>
          <w:caps w:val="0"/>
          <w:smallCaps w:val="0"/>
          <w:noProof w:val="0"/>
          <w:color w:val="4C5A73"/>
          <w:sz w:val="24"/>
          <w:szCs w:val="24"/>
          <w:lang w:val="en-GB"/>
        </w:rPr>
        <w:t>PR2:</w:t>
      </w:r>
      <w:r>
        <w:br/>
      </w:r>
      <w:r>
        <w:br/>
      </w:r>
      <w:r w:rsidRPr="2F0F47F5" w:rsidR="0AED7EEE">
        <w:rPr>
          <w:rFonts w:ascii="Aptos" w:hAnsi="Aptos" w:eastAsia="Aptos" w:cs="Aptos"/>
          <w:b w:val="0"/>
          <w:bCs w:val="0"/>
          <w:i w:val="0"/>
          <w:iCs w:val="0"/>
          <w:caps w:val="0"/>
          <w:smallCaps w:val="0"/>
          <w:noProof w:val="0"/>
          <w:color w:val="4C5A73"/>
          <w:sz w:val="24"/>
          <w:szCs w:val="24"/>
          <w:lang w:val="en-GB"/>
        </w:rPr>
        <w:t>Peer Response 2</w:t>
      </w:r>
      <w:r>
        <w:br/>
      </w:r>
      <w:r>
        <w:br/>
      </w:r>
      <w:r w:rsidRPr="2F0F47F5" w:rsidR="0AED7EEE">
        <w:rPr>
          <w:rFonts w:ascii="Aptos" w:hAnsi="Aptos" w:eastAsia="Aptos" w:cs="Aptos"/>
          <w:b w:val="0"/>
          <w:bCs w:val="0"/>
          <w:i w:val="0"/>
          <w:iCs w:val="0"/>
          <w:caps w:val="0"/>
          <w:smallCaps w:val="0"/>
          <w:noProof w:val="0"/>
          <w:color w:val="4C5A73"/>
          <w:sz w:val="24"/>
          <w:szCs w:val="24"/>
          <w:lang w:val="en-GB"/>
        </w:rPr>
        <w:t>You make a particularly convincing difference between psychographic targeting itself and the possibly problematic ways in which it can be applied. I agree that personalised communication does not necessarily go against Grice’s Cooperative Principle, and your use of Zarouali et al. (2024) is useful in showing that, in some cases, personality-congruent advertising can expand perceived relevance and persuasion. Thus, supporting the idea that, rather than being inherently manipulative, personalisation may have communicative benefits.</w:t>
      </w:r>
      <w:r>
        <w:br/>
      </w:r>
      <w:r>
        <w:br/>
      </w:r>
      <w:r w:rsidRPr="2F0F47F5" w:rsidR="0AED7EEE">
        <w:rPr>
          <w:rFonts w:ascii="Aptos" w:hAnsi="Aptos" w:eastAsia="Aptos" w:cs="Aptos"/>
          <w:b w:val="0"/>
          <w:bCs w:val="0"/>
          <w:i w:val="0"/>
          <w:iCs w:val="0"/>
          <w:caps w:val="0"/>
          <w:smallCaps w:val="0"/>
          <w:noProof w:val="0"/>
          <w:color w:val="4C5A73"/>
          <w:sz w:val="24"/>
          <w:szCs w:val="24"/>
          <w:lang w:val="en-GB"/>
        </w:rPr>
        <w:t>I wonder if some of the suggested violations of Grice’s maxims need more separation. You state that it may violate the Maxim of Manner when the targeting process or persuasive goals are hidden. Whilst this brings up a significant transparency issue, Grice’s (1975) Maxim of Manner is concerned with how unambiguously and clearly information is conveyed. Therefore, it may not be violating the Manner itself by concealing how someone was targeted but rather an ethical concern. Comparably, selective information does not necessarily violate Quantity, as for its immediate purpose the targeted information may be sufficient. Instead, the concern may happen when necessary information required to understand political claims is purposefully excluded.</w:t>
      </w:r>
      <w:r>
        <w:br/>
      </w:r>
      <w:r>
        <w:br/>
      </w:r>
      <w:r w:rsidRPr="2F0F47F5" w:rsidR="0AED7EEE">
        <w:rPr>
          <w:rFonts w:ascii="Aptos" w:hAnsi="Aptos" w:eastAsia="Aptos" w:cs="Aptos"/>
          <w:b w:val="0"/>
          <w:bCs w:val="0"/>
          <w:i w:val="0"/>
          <w:iCs w:val="0"/>
          <w:caps w:val="0"/>
          <w:smallCaps w:val="0"/>
          <w:noProof w:val="0"/>
          <w:color w:val="4C5A73"/>
          <w:sz w:val="24"/>
          <w:szCs w:val="24"/>
          <w:lang w:val="en-GB"/>
        </w:rPr>
        <w:t>I especially agree with you that a message could be psychologically manipulative whilst still satisfying certain Gricean maxims. This showcases an important limitation of using Grice in political advertising: cooperative communication might help decide whether information is relevant, sufficiently informative, and clear; however, it does not always determine whether the underlying reasoning is ethical. For example, Bakir (2020) states concern about manipulation and psychological profiling in digital political campaigns.</w:t>
      </w:r>
      <w:r>
        <w:br/>
      </w:r>
      <w:r>
        <w:br/>
      </w:r>
      <w:r w:rsidRPr="2F0F47F5" w:rsidR="0AED7EEE">
        <w:rPr>
          <w:rFonts w:ascii="Aptos" w:hAnsi="Aptos" w:eastAsia="Aptos" w:cs="Aptos"/>
          <w:b w:val="0"/>
          <w:bCs w:val="0"/>
          <w:i w:val="0"/>
          <w:iCs w:val="0"/>
          <w:caps w:val="0"/>
          <w:smallCaps w:val="0"/>
          <w:noProof w:val="0"/>
          <w:color w:val="4C5A73"/>
          <w:sz w:val="24"/>
          <w:szCs w:val="24"/>
          <w:lang w:val="en-GB"/>
        </w:rPr>
        <w:t>Therefore, your conclusion that Grice and Halpern complement each other is convincing. Yet, I wonder if Grice is better understood as a standard for cooperative communication instead of an ethical framework itself. This difference seems important when critical thinking can enhance persuasion without necessarily enhancing the ethical quality of that persuasion.</w:t>
      </w:r>
      <w:r>
        <w:br/>
      </w:r>
      <w:r>
        <w:br/>
      </w:r>
      <w:r>
        <w:br/>
      </w:r>
      <w:r w:rsidRPr="2F0F47F5" w:rsidR="0AED7EEE">
        <w:rPr>
          <w:rFonts w:ascii="Aptos" w:hAnsi="Aptos" w:eastAsia="Aptos" w:cs="Aptos"/>
          <w:b w:val="0"/>
          <w:bCs w:val="0"/>
          <w:i w:val="0"/>
          <w:iCs w:val="0"/>
          <w:caps w:val="0"/>
          <w:smallCaps w:val="0"/>
          <w:noProof w:val="0"/>
          <w:color w:val="4C5A73"/>
          <w:sz w:val="24"/>
          <w:szCs w:val="24"/>
          <w:lang w:val="en-GB"/>
        </w:rPr>
        <w:t>References</w:t>
      </w:r>
      <w:r>
        <w:br/>
      </w:r>
      <w:r>
        <w:br/>
      </w:r>
      <w:r w:rsidRPr="2F0F47F5" w:rsidR="0AED7EEE">
        <w:rPr>
          <w:rFonts w:ascii="Aptos" w:hAnsi="Aptos" w:eastAsia="Aptos" w:cs="Aptos"/>
          <w:b w:val="0"/>
          <w:bCs w:val="0"/>
          <w:i w:val="0"/>
          <w:iCs w:val="0"/>
          <w:caps w:val="0"/>
          <w:smallCaps w:val="0"/>
          <w:noProof w:val="0"/>
          <w:color w:val="4C5A73"/>
          <w:sz w:val="24"/>
          <w:szCs w:val="24"/>
          <w:lang w:val="en-GB"/>
        </w:rPr>
        <w:t>Bakir, V. (2020). Psychological operations in digital political campaigns: Assessing Cambridge Analytica’s psychographic profiling and targeting. Frontiers in Communication, 5, Article 67. https://doi.org/10.3389/fcomm.2020.00067</w:t>
      </w:r>
      <w:r>
        <w:br/>
      </w:r>
      <w:r>
        <w:br/>
      </w:r>
      <w:r w:rsidRPr="2F0F47F5" w:rsidR="0AED7EEE">
        <w:rPr>
          <w:rFonts w:ascii="Aptos" w:hAnsi="Aptos" w:eastAsia="Aptos" w:cs="Aptos"/>
          <w:b w:val="0"/>
          <w:bCs w:val="0"/>
          <w:i w:val="0"/>
          <w:iCs w:val="0"/>
          <w:caps w:val="0"/>
          <w:smallCaps w:val="0"/>
          <w:noProof w:val="0"/>
          <w:color w:val="4C5A73"/>
          <w:sz w:val="24"/>
          <w:szCs w:val="24"/>
          <w:lang w:val="en-GB"/>
        </w:rPr>
        <w:t>Grice, H. P. (1975). Logic and conversation. In P. Cole &amp; J. L. Morgan (Eds.), Syntax and semantics: Vol. 3. Speech acts (pp. 41–58). Academic Press.</w:t>
      </w:r>
      <w:r>
        <w:br/>
      </w:r>
    </w:p>
    <w:sectPr w:rsidR="005040F4">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40D8F73"/>
    <w:rsid w:val="005040F4"/>
    <w:rsid w:val="00FE4AD7"/>
    <w:rsid w:val="040D8F73"/>
    <w:rsid w:val="06444B56"/>
    <w:rsid w:val="0AED7EEE"/>
    <w:rsid w:val="11EF8DF5"/>
    <w:rsid w:val="1DDBA038"/>
    <w:rsid w:val="20AD8132"/>
    <w:rsid w:val="22290A38"/>
    <w:rsid w:val="2F0F47F5"/>
    <w:rsid w:val="4EED0193"/>
    <w:rsid w:val="5CB8A3C7"/>
    <w:rsid w:val="5E253DE3"/>
    <w:rsid w:val="6EB5A031"/>
    <w:rsid w:val="7028BA5E"/>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EBD1C"/>
  <w15:chartTrackingRefBased/>
  <w15:docId w15:val="{B5724182-96E3-4B9E-B4BA-78C0F8C80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my-course.co.uk/user/view.php?id=26101&amp;course=15414" TargetMode="External" Id="Re819bc44065d482f" /><Relationship Type="http://schemas.openxmlformats.org/officeDocument/2006/relationships/hyperlink" Target="https://doi.org/10.3102/0034654314551063" TargetMode="External" Id="R506050c0ef3d4535" /><Relationship Type="http://schemas.openxmlformats.org/officeDocument/2006/relationships/hyperlink" Target="https://searchengineland.com/aimclears-psychographic-targeting-for-political-advertising-agencies-wins-237290" TargetMode="External" Id="R96d9d756b8f64bd7" /><Relationship Type="http://schemas.openxmlformats.org/officeDocument/2006/relationships/hyperlink" Target="https://doi.org/10.1037/0003-066X.53.4.449" TargetMode="External" Id="Rd10e8f37e5ad4aa3" /><Relationship Type="http://schemas.openxmlformats.org/officeDocument/2006/relationships/hyperlink" Target="https://doi.org/10.1016/j.edurev.2012.12.002" TargetMode="External" Id="R422c27b86cfc498e" /><Relationship Type="http://schemas.openxmlformats.org/officeDocument/2006/relationships/hyperlink" Target="https://doi.org/10.1016/j.tsc.2010.08.002" TargetMode="External" Id="Rba52a10a348149bb"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Mark Ashton-Smith</dc:creator>
  <keywords/>
  <dc:description/>
  <lastModifiedBy>Mark Ashton-Smith</lastModifiedBy>
  <revision>3</revision>
  <dcterms:created xsi:type="dcterms:W3CDTF">2026-08-28T11:14:00.0000000Z</dcterms:created>
  <dcterms:modified xsi:type="dcterms:W3CDTF">2026-08-28T11:16:56.7239985Z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762d7e7-4474-4a67-9ef6-3d4dc52b0ea7_Enabled">
    <vt:lpwstr>true</vt:lpwstr>
  </property>
  <property fmtid="{D5CDD505-2E9C-101B-9397-08002B2CF9AE}" pid="3" name="MSIP_Label_9762d7e7-4474-4a67-9ef6-3d4dc52b0ea7_SetDate">
    <vt:lpwstr>2026-08-28T11:14:32Z</vt:lpwstr>
  </property>
  <property fmtid="{D5CDD505-2E9C-101B-9397-08002B2CF9AE}" pid="4" name="MSIP_Label_9762d7e7-4474-4a67-9ef6-3d4dc52b0ea7_Method">
    <vt:lpwstr>Privileged</vt:lpwstr>
  </property>
  <property fmtid="{D5CDD505-2E9C-101B-9397-08002B2CF9AE}" pid="5" name="MSIP_Label_9762d7e7-4474-4a67-9ef6-3d4dc52b0ea7_Name">
    <vt:lpwstr>Internal</vt:lpwstr>
  </property>
  <property fmtid="{D5CDD505-2E9C-101B-9397-08002B2CF9AE}" pid="6" name="MSIP_Label_9762d7e7-4474-4a67-9ef6-3d4dc52b0ea7_SiteId">
    <vt:lpwstr>057daf85-b1d5-44cd-ab7b-0a4ce1b29eae</vt:lpwstr>
  </property>
  <property fmtid="{D5CDD505-2E9C-101B-9397-08002B2CF9AE}" pid="7" name="MSIP_Label_9762d7e7-4474-4a67-9ef6-3d4dc52b0ea7_ActionId">
    <vt:lpwstr>f2ff0112-a79b-4d49-aed5-6075b732082e</vt:lpwstr>
  </property>
  <property fmtid="{D5CDD505-2E9C-101B-9397-08002B2CF9AE}" pid="8" name="MSIP_Label_9762d7e7-4474-4a67-9ef6-3d4dc52b0ea7_ContentBits">
    <vt:lpwstr>0</vt:lpwstr>
  </property>
  <property fmtid="{D5CDD505-2E9C-101B-9397-08002B2CF9AE}" pid="9" name="MSIP_Label_9762d7e7-4474-4a67-9ef6-3d4dc52b0ea7_Tag">
    <vt:lpwstr>10, 0, 1, 2</vt:lpwstr>
  </property>
</Properties>
</file>