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4D37" w:rsidP="187F53A1" w:rsidRDefault="00624D37" w14:paraId="5E5787A5" w14:textId="06412F84">
      <w:pPr>
        <w:pStyle w:val="Normal"/>
      </w:pPr>
      <w:hyperlink r:id="Rdaf33a1f6718432a">
        <w:r w:rsidRPr="187F53A1" w:rsidR="4DACF626">
          <w:rPr>
            <w:rStyle w:val="Hyperlink"/>
            <w:b w:val="0"/>
            <w:bCs w:val="0"/>
            <w:i w:val="0"/>
            <w:iCs w:val="0"/>
            <w:caps w:val="0"/>
            <w:smallCaps w:val="0"/>
            <w:strike w:val="0"/>
            <w:dstrike w:val="0"/>
            <w:noProof w:val="0"/>
            <w:color w:val="622567"/>
            <w:u w:val="none"/>
            <w:lang w:val="en-GB"/>
          </w:rPr>
          <w:t>Sharon Paxman</w:t>
        </w:r>
      </w:hyperlink>
      <w:r w:rsidRPr="187F53A1" w:rsidR="4DACF626">
        <w:rPr>
          <w:rFonts w:ascii="Aptos" w:hAnsi="Aptos" w:eastAsia="Aptos" w:cs="Aptos"/>
          <w:b w:val="0"/>
          <w:bCs w:val="0"/>
          <w:i w:val="0"/>
          <w:iCs w:val="0"/>
          <w:caps w:val="0"/>
          <w:smallCaps w:val="0"/>
          <w:noProof w:val="0"/>
          <w:color w:val="4C5A73"/>
          <w:sz w:val="24"/>
          <w:szCs w:val="24"/>
          <w:lang w:val="en-GB"/>
        </w:rPr>
        <w:t xml:space="preserve"> </w:t>
      </w:r>
      <w:r w:rsidRPr="187F53A1" w:rsidR="4DACF626">
        <w:rPr>
          <w:rFonts w:ascii="Aptos" w:hAnsi="Aptos" w:eastAsia="Aptos" w:cs="Aptos"/>
          <w:noProof w:val="0"/>
          <w:sz w:val="24"/>
          <w:szCs w:val="24"/>
          <w:lang w:val="en-GB"/>
        </w:rPr>
        <w:t xml:space="preserve"> </w:t>
      </w:r>
    </w:p>
    <w:p w:rsidR="187F53A1" w:rsidP="187F53A1" w:rsidRDefault="187F53A1" w14:paraId="40679C18" w14:textId="6918C391">
      <w:pPr>
        <w:pStyle w:val="Normal"/>
        <w:rPr>
          <w:rFonts w:ascii="Aptos" w:hAnsi="Aptos" w:eastAsia="Aptos" w:cs="Aptos"/>
          <w:noProof w:val="0"/>
          <w:sz w:val="24"/>
          <w:szCs w:val="24"/>
          <w:lang w:val="en-GB"/>
        </w:rPr>
      </w:pPr>
    </w:p>
    <w:p w:rsidR="4DACF626" w:rsidP="187F53A1" w:rsidRDefault="4DACF626" w14:paraId="799C3AD6" w14:textId="2D1EBD35">
      <w:pPr>
        <w:pStyle w:val="Normal"/>
        <w:spacing w:before="0" w:beforeAutospacing="off" w:after="240" w:afterAutospacing="off"/>
      </w:pPr>
      <w:r w:rsidRPr="187F53A1" w:rsidR="4DACF626">
        <w:rPr>
          <w:rFonts w:ascii="Aptos" w:hAnsi="Aptos" w:eastAsia="Aptos" w:cs="Aptos"/>
          <w:noProof w:val="0"/>
          <w:sz w:val="24"/>
          <w:szCs w:val="24"/>
          <w:lang w:val="en-GB"/>
        </w:rPr>
        <w:t>IP:</w:t>
      </w:r>
      <w:r>
        <w:br/>
      </w:r>
      <w:r>
        <w:br/>
      </w:r>
      <w:r w:rsidRPr="187F53A1" w:rsidR="508F8DE2">
        <w:rPr>
          <w:rFonts w:ascii="Aptos" w:hAnsi="Aptos" w:eastAsia="Aptos" w:cs="Aptos"/>
          <w:noProof w:val="0"/>
          <w:sz w:val="24"/>
          <w:szCs w:val="24"/>
          <w:lang w:val="en-GB"/>
        </w:rPr>
        <w:t>Psychographic political advertising creates an important distinction between effective reasoning and cooperative communication. The targeting strategies described by aimClear (2015) use demographic, behavioural and psychographic information to identify audiences most receptive to particular messages. Although such personalisation may increase relevance, I argue that it can conflict with Grice’s (1975) Cooperative Principle because communication is optimised primarily to achieve the campaign’s objective rather than to provide voters with sufficient information for autonomous evaluation.</w:t>
      </w:r>
    </w:p>
    <w:p w:rsidR="508F8DE2" w:rsidP="187F53A1" w:rsidRDefault="508F8DE2" w14:paraId="34708BDB" w14:textId="71B6E131">
      <w:pPr>
        <w:spacing w:before="0" w:beforeAutospacing="off" w:after="240" w:afterAutospacing="off"/>
      </w:pPr>
      <w:r w:rsidRPr="187F53A1" w:rsidR="508F8DE2">
        <w:rPr>
          <w:rFonts w:ascii="Aptos" w:hAnsi="Aptos" w:eastAsia="Aptos" w:cs="Aptos"/>
          <w:noProof w:val="0"/>
          <w:sz w:val="24"/>
          <w:szCs w:val="24"/>
          <w:lang w:val="en-GB"/>
        </w:rPr>
        <w:t>Grice proposed that cooperative communication should satisfy the maxims of quality, quantity, relation and manner. Psychographic targeting may satisfy relation, because messages are deliberately made relevant to recipients’ concerns. However, quantity is more problematic. Presenting different voters with selected aspects of a candidate’s policies may omit information necessary to evaluate the candidate as a whole. Quality may similarly be compromised without statements being explicitly false: selective framing can produce misleading implications despite individual claims remaining factually defensible. Manner may also be challenged where persuasive intent or the basis on which an individual has been targeted is opaque. Thus, microtargeting demonstrates that relevance alone does not make communication genuinely cooperative.</w:t>
      </w:r>
    </w:p>
    <w:p w:rsidR="508F8DE2" w:rsidP="187F53A1" w:rsidRDefault="508F8DE2" w14:paraId="269528DE" w14:textId="61B60D8E">
      <w:pPr>
        <w:spacing w:before="0" w:beforeAutospacing="off" w:after="240" w:afterAutospacing="off"/>
      </w:pPr>
      <w:r w:rsidRPr="187F53A1" w:rsidR="508F8DE2">
        <w:rPr>
          <w:rFonts w:ascii="Aptos" w:hAnsi="Aptos" w:eastAsia="Aptos" w:cs="Aptos"/>
          <w:noProof w:val="0"/>
          <w:sz w:val="24"/>
          <w:szCs w:val="24"/>
          <w:lang w:val="en-GB"/>
        </w:rPr>
        <w:t>Paradoxically, developing these campaigns may require considerable critical thinking. Halpern (1998) conceptualises critical thinking as the purposeful use of cognitive skills and strategies that increase the probability of a desirable outcome. Agencies could employ hypothesis testing, probabilistic reasoning, evaluation of evidence and recognition of bias when segmenting voters, comparing alternative messages and interpreting campaign data. Importantly, however, critical thinking is goal-dependent. If the desired outcome is electoral persuasion, sophisticated reasoning could be used to identify and exploit psychological differences rather than facilitate voters’ own critical evaluation.</w:t>
      </w:r>
    </w:p>
    <w:p w:rsidR="508F8DE2" w:rsidP="187F53A1" w:rsidRDefault="508F8DE2" w14:paraId="1DA67D18" w14:textId="7DD7692F">
      <w:pPr>
        <w:spacing w:before="0" w:beforeAutospacing="off" w:after="240" w:afterAutospacing="off"/>
      </w:pPr>
      <w:r w:rsidRPr="187F53A1" w:rsidR="508F8DE2">
        <w:rPr>
          <w:rFonts w:ascii="Aptos" w:hAnsi="Aptos" w:eastAsia="Aptos" w:cs="Aptos"/>
          <w:noProof w:val="0"/>
          <w:sz w:val="24"/>
          <w:szCs w:val="24"/>
          <w:lang w:val="en-GB"/>
        </w:rPr>
        <w:t>Evidence indicates that critical-thinking skills can be developed. Halpern (1998) argues that effective instruction incorporates critical-thinking dispositions, explicit skills instruction, recognition of problem structure and metacognitive monitoring. Supporting this, Abrami et al.’s (2015) meta-analysis of 341 effect sizes found a significant positive effect of critical-thinking instruction (g+ = .30), although variation between interventions cautions against assuming that skills automatically transfer between contexts. Within political advertising agencies, development could therefore involve explicit training in evaluating evidence and cognitive biases, followed by repeated application to authentic campaign problems, structured reflection and post-campaign evaluation. This would encourage transfer rather than merely teaching abstract principles.</w:t>
      </w:r>
    </w:p>
    <w:p w:rsidR="508F8DE2" w:rsidP="187F53A1" w:rsidRDefault="508F8DE2" w14:paraId="13AC8AA3" w14:textId="22625F76">
      <w:pPr>
        <w:spacing w:before="0" w:beforeAutospacing="off" w:after="240" w:afterAutospacing="off"/>
      </w:pPr>
      <w:r w:rsidRPr="187F53A1" w:rsidR="508F8DE2">
        <w:rPr>
          <w:rFonts w:ascii="Aptos" w:hAnsi="Aptos" w:eastAsia="Aptos" w:cs="Aptos"/>
          <w:noProof w:val="0"/>
          <w:sz w:val="24"/>
          <w:szCs w:val="24"/>
          <w:lang w:val="en-GB"/>
        </w:rPr>
        <w:t>The relationship between Gricean communication and critical thinking is consequently complex. Grice’s maxims can provide criteria against which agencies critically evaluate not only whether communication is persuasive, but whether it is sufficiently truthful, informative and transparent. Yet critical thinking does not inherently produce cooperative communication: its application depends partly upon the goal being pursued. Recent evidence that microtargeting can enhance persuasive impact in some contexts (Simchon et al., 2024; Tappin et al., 2023) strengthens the importance of this distinction.</w:t>
      </w:r>
    </w:p>
    <w:p w:rsidR="508F8DE2" w:rsidP="187F53A1" w:rsidRDefault="508F8DE2" w14:paraId="20FD1F06" w14:textId="47316BA8">
      <w:pPr>
        <w:spacing w:before="0" w:beforeAutospacing="off" w:after="240" w:afterAutospacing="off"/>
      </w:pPr>
      <w:r w:rsidRPr="187F53A1" w:rsidR="508F8DE2">
        <w:rPr>
          <w:rFonts w:ascii="Aptos" w:hAnsi="Aptos" w:eastAsia="Aptos" w:cs="Aptos"/>
          <w:noProof w:val="0"/>
          <w:sz w:val="24"/>
          <w:szCs w:val="24"/>
          <w:lang w:val="en-GB"/>
        </w:rPr>
        <w:t>In conclusion, psychographic targeting can involve sophisticated critical thinking while simultaneously departing from cooperative communication. Applying Gricean principles alongside Halpern’s framework therefore broadens critical evaluation from asking “Will this message work?” to asking “How, and at what communicative cost, does it work?”</w:t>
      </w:r>
    </w:p>
    <w:p w:rsidR="508F8DE2" w:rsidP="187F53A1" w:rsidRDefault="508F8DE2" w14:paraId="51BF3C29" w14:textId="6C7172CF">
      <w:pPr>
        <w:spacing w:before="0" w:beforeAutospacing="off" w:after="240" w:afterAutospacing="off"/>
      </w:pPr>
      <w:r w:rsidRPr="187F53A1" w:rsidR="508F8DE2">
        <w:rPr>
          <w:rFonts w:ascii="Aptos" w:hAnsi="Aptos" w:eastAsia="Aptos" w:cs="Aptos"/>
          <w:noProof w:val="0"/>
          <w:sz w:val="24"/>
          <w:szCs w:val="24"/>
          <w:lang w:val="en-GB"/>
        </w:rPr>
        <w:t>References</w:t>
      </w:r>
    </w:p>
    <w:p w:rsidR="508F8DE2" w:rsidP="187F53A1" w:rsidRDefault="508F8DE2" w14:paraId="548731D8" w14:textId="0F3E9884">
      <w:pPr>
        <w:spacing w:before="0" w:beforeAutospacing="off" w:after="240" w:afterAutospacing="off"/>
      </w:pPr>
      <w:r w:rsidRPr="187F53A1" w:rsidR="508F8DE2">
        <w:rPr>
          <w:rFonts w:ascii="Aptos" w:hAnsi="Aptos" w:eastAsia="Aptos" w:cs="Aptos"/>
          <w:noProof w:val="0"/>
          <w:sz w:val="24"/>
          <w:szCs w:val="24"/>
          <w:lang w:val="en-GB"/>
        </w:rPr>
        <w:t xml:space="preserve">Abrami, P. C., Bernard, R. M., Borokhovski, E., Waddington, D. I., Wade, C. A., &amp; Persson, T. (2015). Strategies for teaching students to think critically: A meta-analysis. Review of Educational Research, 85(2), 275–314. </w:t>
      </w:r>
      <w:hyperlink r:id="R897a32440ea54578">
        <w:r w:rsidRPr="187F53A1" w:rsidR="508F8DE2">
          <w:rPr>
            <w:rStyle w:val="Hyperlink"/>
            <w:noProof w:val="0"/>
            <w:lang w:val="en-GB"/>
          </w:rPr>
          <w:t>https://doi.org/10.3102/0034654314551063</w:t>
        </w:r>
      </w:hyperlink>
    </w:p>
    <w:p w:rsidR="508F8DE2" w:rsidP="187F53A1" w:rsidRDefault="508F8DE2" w14:paraId="63AEC0CA" w14:textId="473D865B">
      <w:pPr>
        <w:spacing w:before="0" w:beforeAutospacing="off" w:after="240" w:afterAutospacing="off"/>
      </w:pPr>
      <w:r w:rsidRPr="187F53A1" w:rsidR="508F8DE2">
        <w:rPr>
          <w:rFonts w:ascii="Aptos" w:hAnsi="Aptos" w:eastAsia="Aptos" w:cs="Aptos"/>
          <w:noProof w:val="0"/>
          <w:sz w:val="24"/>
          <w:szCs w:val="24"/>
          <w:lang w:val="en-GB"/>
        </w:rPr>
        <w:t>aimClear. (2015, December 3). aimClear’s psychographic targeting for political advertising agencies’ WINS. Search Engine Land.</w:t>
      </w:r>
    </w:p>
    <w:p w:rsidR="508F8DE2" w:rsidP="187F53A1" w:rsidRDefault="508F8DE2" w14:paraId="1A11BB6A" w14:textId="5EFCAD26">
      <w:pPr>
        <w:spacing w:before="0" w:beforeAutospacing="off" w:after="240" w:afterAutospacing="off"/>
      </w:pPr>
      <w:r w:rsidRPr="187F53A1" w:rsidR="508F8DE2">
        <w:rPr>
          <w:rFonts w:ascii="Aptos" w:hAnsi="Aptos" w:eastAsia="Aptos" w:cs="Aptos"/>
          <w:noProof w:val="0"/>
          <w:sz w:val="24"/>
          <w:szCs w:val="24"/>
          <w:lang w:val="en-GB"/>
        </w:rPr>
        <w:t>Grice, H. P. (1975). Logic and conversation. In P. Cole &amp; J. L. Morgan (Eds.), Syntax and semantics: Vol. 3. Speech acts (pp. 41–58). Academic Press.</w:t>
      </w:r>
    </w:p>
    <w:p w:rsidR="508F8DE2" w:rsidP="187F53A1" w:rsidRDefault="508F8DE2" w14:paraId="5B033D5B" w14:textId="13FB18A8">
      <w:pPr>
        <w:spacing w:before="0" w:beforeAutospacing="off" w:after="240" w:afterAutospacing="off"/>
      </w:pPr>
      <w:r w:rsidRPr="187F53A1" w:rsidR="508F8DE2">
        <w:rPr>
          <w:rFonts w:ascii="Aptos" w:hAnsi="Aptos" w:eastAsia="Aptos" w:cs="Aptos"/>
          <w:noProof w:val="0"/>
          <w:sz w:val="24"/>
          <w:szCs w:val="24"/>
          <w:lang w:val="en-GB"/>
        </w:rPr>
        <w:t xml:space="preserve">Halpern, D. F. (1998). Teaching critical thinking for transfer across domains: Dispositions, skills, structure training, and metacognitive monitoring. American Psychologist, 53(4), 449–455. </w:t>
      </w:r>
      <w:hyperlink r:id="R51873393548048d2">
        <w:r w:rsidRPr="187F53A1" w:rsidR="508F8DE2">
          <w:rPr>
            <w:rStyle w:val="Hyperlink"/>
            <w:noProof w:val="0"/>
            <w:lang w:val="en-GB"/>
          </w:rPr>
          <w:t>https://doi.org/10.1037/0003-066X.53.4.449</w:t>
        </w:r>
      </w:hyperlink>
    </w:p>
    <w:p w:rsidR="508F8DE2" w:rsidP="187F53A1" w:rsidRDefault="508F8DE2" w14:paraId="64F9599D" w14:textId="36FDA55A">
      <w:pPr>
        <w:spacing w:before="0" w:beforeAutospacing="off" w:after="240" w:afterAutospacing="off"/>
      </w:pPr>
      <w:r w:rsidRPr="187F53A1" w:rsidR="508F8DE2">
        <w:rPr>
          <w:rFonts w:ascii="Aptos" w:hAnsi="Aptos" w:eastAsia="Aptos" w:cs="Aptos"/>
          <w:noProof w:val="0"/>
          <w:sz w:val="24"/>
          <w:szCs w:val="24"/>
          <w:lang w:val="en-GB"/>
        </w:rPr>
        <w:t>Simchon, A., Edwards, M., &amp; Lewandowsky, S. (2024). The persuasive effects of political microtargeting in the age of generative artificial intelligence. PNAS Nexus, 3(2), pgae035.</w:t>
      </w:r>
    </w:p>
    <w:p w:rsidR="508F8DE2" w:rsidP="187F53A1" w:rsidRDefault="508F8DE2" w14:paraId="6762DA80" w14:textId="7165BD97">
      <w:pPr>
        <w:spacing w:before="0" w:beforeAutospacing="off" w:after="240" w:afterAutospacing="off"/>
      </w:pPr>
      <w:r w:rsidRPr="187F53A1" w:rsidR="508F8DE2">
        <w:rPr>
          <w:rFonts w:ascii="Aptos" w:hAnsi="Aptos" w:eastAsia="Aptos" w:cs="Aptos"/>
          <w:noProof w:val="0"/>
          <w:sz w:val="24"/>
          <w:szCs w:val="24"/>
          <w:lang w:val="en-GB"/>
        </w:rPr>
        <w:t>Tappin, B. M., Hewitt, L. B., &amp; McKay, R. T. (2023). Quantifying the potential persuasive returns to political microtargeting. Proceedings of the National Academy of Sciences, 120(25), e2216261120.</w:t>
      </w:r>
    </w:p>
    <w:p w:rsidR="187F53A1" w:rsidP="187F53A1" w:rsidRDefault="187F53A1" w14:paraId="4CDADDE0" w14:textId="3791B6EE">
      <w:pPr>
        <w:spacing w:before="0" w:beforeAutospacing="off" w:after="240" w:afterAutospacing="off"/>
      </w:pPr>
    </w:p>
    <w:p w:rsidR="508F8DE2" w:rsidP="187F53A1" w:rsidRDefault="508F8DE2" w14:paraId="34A7387B" w14:textId="0B067AE4">
      <w:pPr>
        <w:pStyle w:val="Normal"/>
        <w:shd w:val="clear" w:color="auto" w:fill="FFFFFF" w:themeFill="background1"/>
        <w:spacing w:before="0" w:beforeAutospacing="off" w:after="240" w:afterAutospacing="off"/>
        <w:jc w:val="left"/>
      </w:pPr>
      <w:r w:rsidRPr="187F53A1" w:rsidR="508F8DE2">
        <w:rPr>
          <w:rFonts w:ascii="Aptos" w:hAnsi="Aptos" w:eastAsia="Aptos" w:cs="Aptos"/>
          <w:noProof w:val="0"/>
          <w:sz w:val="24"/>
          <w:szCs w:val="24"/>
          <w:lang w:val="en-GB"/>
        </w:rPr>
        <w:t>--</w:t>
      </w:r>
      <w:r>
        <w:br/>
      </w:r>
      <w:r>
        <w:br/>
      </w:r>
      <w:r w:rsidRPr="187F53A1" w:rsidR="3A1CB0CD">
        <w:rPr>
          <w:rFonts w:ascii="Aptos" w:hAnsi="Aptos" w:eastAsia="Aptos" w:cs="Aptos"/>
          <w:noProof w:val="0"/>
          <w:sz w:val="24"/>
          <w:szCs w:val="24"/>
          <w:lang w:val="en-GB"/>
        </w:rPr>
        <w:t>PR1:</w:t>
      </w:r>
      <w:r>
        <w:br/>
      </w:r>
      <w:r>
        <w:br/>
      </w:r>
      <w:r w:rsidRPr="187F53A1" w:rsidR="0FC4498A">
        <w:rPr>
          <w:rFonts w:ascii="Aptos" w:hAnsi="Aptos" w:eastAsia="Aptos" w:cs="Aptos"/>
          <w:b w:val="0"/>
          <w:bCs w:val="0"/>
          <w:i w:val="0"/>
          <w:iCs w:val="0"/>
          <w:caps w:val="0"/>
          <w:smallCaps w:val="0"/>
          <w:noProof w:val="0"/>
          <w:color w:val="4C5A73"/>
          <w:sz w:val="24"/>
          <w:szCs w:val="24"/>
          <w:lang w:val="en-GB"/>
        </w:rPr>
        <w:t>Amreen, your post gives a clear application of Grice’s maxims to psychographic political advertising. I particularly agree with your point that targeted messaging may meet the maxim of Relation while still creating problems with Quantity and Quality through selective or misleading presentation. This is a strength because it avoids treating psychographic targeting as automatically uncooperative and instead considers how different parts of the communication may work differently.</w:t>
      </w:r>
    </w:p>
    <w:p w:rsidR="0FC4498A" w:rsidP="187F53A1" w:rsidRDefault="0FC4498A" w14:paraId="3C01894F" w14:textId="7A19CF1A">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One area that could be developed further is the link you make between Gricean cooperation and ethical communication. Grice’s (1975) Cooperative Principle explains how people generally cooperate and interpret meaning in conversation, but it is not itself an ethical framework. A political advertisement could therefore be factually accurate, relevant and clear, while still being manipulative if the information has been selected specifically to exploit a voter’s fears or values. This suggests that Gricean principles may help agencies evaluate communication but cannot alone ensure that critical thinking is used responsibly.</w:t>
      </w:r>
    </w:p>
    <w:p w:rsidR="0FC4498A" w:rsidP="187F53A1" w:rsidRDefault="0FC4498A" w14:paraId="1BD74472" w14:textId="174E39F4">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Your discussion of critical-thinking training is also persuasive, particularly your use of Abrami et al. (2015). However, evidence that critical thinking can improve through educational interventions does not necessarily show that those skills will transfer effectively into professional settings. Halpern (1998) argues that transfer depends on recognising when a thinking skill is relevant in a new situation. In practice, political advertising agencies may therefore benefit more from realistic campaign exercises, analysis of cognitive biases and structured reflection on decisions than from general critical-thinking training alone.</w:t>
      </w:r>
    </w:p>
    <w:p w:rsidR="0FC4498A" w:rsidP="187F53A1" w:rsidRDefault="0FC4498A" w14:paraId="7B069B9F" w14:textId="335F85AA">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This raises an important question: if an agency uses sophisticated reasoning to design messages that reduce voters’ opportunity to reflect critically, should this still be considered successful critical thinking simply because it achieves the intended outcome, or does critical thinking also depend on how those skills are used?</w:t>
      </w:r>
    </w:p>
    <w:p w:rsidR="0FC4498A" w:rsidP="187F53A1" w:rsidRDefault="0FC4498A" w14:paraId="4B8A98BA" w14:textId="5341C871">
      <w:pPr>
        <w:shd w:val="clear" w:color="auto" w:fill="FFFFFF" w:themeFill="background1"/>
        <w:spacing w:before="0" w:beforeAutospacing="off" w:after="240" w:afterAutospacing="off"/>
        <w:jc w:val="left"/>
      </w:pPr>
      <w:r w:rsidRPr="187F53A1" w:rsidR="0FC4498A">
        <w:rPr>
          <w:rFonts w:ascii="Aptos" w:hAnsi="Aptos" w:eastAsia="Aptos" w:cs="Aptos"/>
          <w:b w:val="1"/>
          <w:bCs w:val="1"/>
          <w:i w:val="0"/>
          <w:iCs w:val="0"/>
          <w:caps w:val="0"/>
          <w:smallCaps w:val="0"/>
          <w:noProof w:val="0"/>
          <w:color w:val="4C5A73"/>
          <w:sz w:val="24"/>
          <w:szCs w:val="24"/>
          <w:lang w:val="en-GB"/>
        </w:rPr>
        <w:t>References</w:t>
      </w:r>
    </w:p>
    <w:p w:rsidR="0FC4498A" w:rsidP="187F53A1" w:rsidRDefault="0FC4498A" w14:paraId="1DD2F416" w14:textId="1468299E">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187F53A1" w:rsidR="0FC4498A">
        <w:rPr>
          <w:rFonts w:ascii="Aptos" w:hAnsi="Aptos" w:eastAsia="Aptos" w:cs="Aptos"/>
          <w:b w:val="0"/>
          <w:bCs w:val="0"/>
          <w:i w:val="1"/>
          <w:iCs w:val="1"/>
          <w:caps w:val="0"/>
          <w:smallCaps w:val="0"/>
          <w:noProof w:val="0"/>
          <w:color w:val="4C5A73"/>
          <w:sz w:val="24"/>
          <w:szCs w:val="24"/>
          <w:lang w:val="en-GB"/>
        </w:rPr>
        <w:t>Review of Educational Research, 85</w:t>
      </w:r>
      <w:r w:rsidRPr="187F53A1" w:rsidR="0FC4498A">
        <w:rPr>
          <w:rFonts w:ascii="Aptos" w:hAnsi="Aptos" w:eastAsia="Aptos" w:cs="Aptos"/>
          <w:b w:val="0"/>
          <w:bCs w:val="0"/>
          <w:i w:val="0"/>
          <w:iCs w:val="0"/>
          <w:caps w:val="0"/>
          <w:smallCaps w:val="0"/>
          <w:noProof w:val="0"/>
          <w:color w:val="4C5A73"/>
          <w:sz w:val="24"/>
          <w:szCs w:val="24"/>
          <w:lang w:val="en-GB"/>
        </w:rPr>
        <w:t xml:space="preserve">(2), 275–314. </w:t>
      </w:r>
      <w:hyperlink r:id="R3bf9b64ecc44450a">
        <w:r w:rsidRPr="187F53A1" w:rsidR="0FC4498A">
          <w:rPr>
            <w:rStyle w:val="Hyperlink"/>
            <w:b w:val="1"/>
            <w:bCs w:val="1"/>
            <w:i w:val="0"/>
            <w:iCs w:val="0"/>
            <w:caps w:val="0"/>
            <w:smallCaps w:val="0"/>
            <w:strike w:val="0"/>
            <w:dstrike w:val="0"/>
            <w:noProof w:val="0"/>
            <w:color w:val="622567"/>
            <w:u w:val="single"/>
            <w:lang w:val="en-GB"/>
          </w:rPr>
          <w:t>https://doi.org/10.3102/0034654314551063</w:t>
        </w:r>
      </w:hyperlink>
    </w:p>
    <w:p w:rsidR="0FC4498A" w:rsidP="187F53A1" w:rsidRDefault="0FC4498A" w14:paraId="0F4484A8" w14:textId="41FB0535">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187F53A1" w:rsidR="0FC4498A">
        <w:rPr>
          <w:rFonts w:ascii="Aptos" w:hAnsi="Aptos" w:eastAsia="Aptos" w:cs="Aptos"/>
          <w:b w:val="0"/>
          <w:bCs w:val="0"/>
          <w:i w:val="1"/>
          <w:iCs w:val="1"/>
          <w:caps w:val="0"/>
          <w:smallCaps w:val="0"/>
          <w:noProof w:val="0"/>
          <w:color w:val="4C5A73"/>
          <w:sz w:val="24"/>
          <w:szCs w:val="24"/>
          <w:lang w:val="en-GB"/>
        </w:rPr>
        <w:t>Syntax and semantics: Vol. 3. Speech acts</w:t>
      </w:r>
      <w:r w:rsidRPr="187F53A1" w:rsidR="0FC4498A">
        <w:rPr>
          <w:rFonts w:ascii="Aptos" w:hAnsi="Aptos" w:eastAsia="Aptos" w:cs="Aptos"/>
          <w:b w:val="0"/>
          <w:bCs w:val="0"/>
          <w:i w:val="0"/>
          <w:iCs w:val="0"/>
          <w:caps w:val="0"/>
          <w:smallCaps w:val="0"/>
          <w:noProof w:val="0"/>
          <w:color w:val="4C5A73"/>
          <w:sz w:val="24"/>
          <w:szCs w:val="24"/>
          <w:lang w:val="en-GB"/>
        </w:rPr>
        <w:t xml:space="preserve"> (pp. 41–58). Academic Press</w:t>
      </w:r>
      <w:r w:rsidRPr="187F53A1" w:rsidR="0FC4498A">
        <w:rPr>
          <w:rFonts w:ascii="Aptos" w:hAnsi="Aptos" w:eastAsia="Aptos" w:cs="Aptos"/>
          <w:b w:val="1"/>
          <w:bCs w:val="1"/>
          <w:i w:val="0"/>
          <w:iCs w:val="0"/>
          <w:caps w:val="0"/>
          <w:smallCaps w:val="0"/>
          <w:noProof w:val="0"/>
          <w:color w:val="4C5A73"/>
          <w:sz w:val="24"/>
          <w:szCs w:val="24"/>
          <w:lang w:val="en-GB"/>
        </w:rPr>
        <w:t>.</w:t>
      </w:r>
    </w:p>
    <w:p w:rsidR="0FC4498A" w:rsidP="187F53A1" w:rsidRDefault="0FC4498A" w14:paraId="2DB415A6" w14:textId="69CD68DA">
      <w:pPr>
        <w:shd w:val="clear" w:color="auto" w:fill="FFFFFF" w:themeFill="background1"/>
        <w:spacing w:before="0" w:beforeAutospacing="off" w:after="240" w:afterAutospacing="off"/>
        <w:jc w:val="left"/>
      </w:pPr>
      <w:r w:rsidRPr="187F53A1" w:rsidR="0FC4498A">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187F53A1" w:rsidR="0FC4498A">
        <w:rPr>
          <w:rFonts w:ascii="Aptos" w:hAnsi="Aptos" w:eastAsia="Aptos" w:cs="Aptos"/>
          <w:b w:val="0"/>
          <w:bCs w:val="0"/>
          <w:i w:val="1"/>
          <w:iCs w:val="1"/>
          <w:caps w:val="0"/>
          <w:smallCaps w:val="0"/>
          <w:noProof w:val="0"/>
          <w:color w:val="4C5A73"/>
          <w:sz w:val="24"/>
          <w:szCs w:val="24"/>
          <w:lang w:val="en-GB"/>
        </w:rPr>
        <w:t>American Psychologist, 53</w:t>
      </w:r>
      <w:r w:rsidRPr="187F53A1" w:rsidR="0FC4498A">
        <w:rPr>
          <w:rFonts w:ascii="Aptos" w:hAnsi="Aptos" w:eastAsia="Aptos" w:cs="Aptos"/>
          <w:b w:val="0"/>
          <w:bCs w:val="0"/>
          <w:i w:val="0"/>
          <w:iCs w:val="0"/>
          <w:caps w:val="0"/>
          <w:smallCaps w:val="0"/>
          <w:noProof w:val="0"/>
          <w:color w:val="4C5A73"/>
          <w:sz w:val="24"/>
          <w:szCs w:val="24"/>
          <w:lang w:val="en-GB"/>
        </w:rPr>
        <w:t xml:space="preserve">(4), 449–455. </w:t>
      </w:r>
      <w:hyperlink r:id="Rc607ef08db5649b7">
        <w:r w:rsidRPr="187F53A1" w:rsidR="0FC4498A">
          <w:rPr>
            <w:rStyle w:val="Hyperlink"/>
            <w:b w:val="1"/>
            <w:bCs w:val="1"/>
            <w:i w:val="0"/>
            <w:iCs w:val="0"/>
            <w:caps w:val="0"/>
            <w:smallCaps w:val="0"/>
            <w:strike w:val="0"/>
            <w:dstrike w:val="0"/>
            <w:noProof w:val="0"/>
            <w:color w:val="622567"/>
            <w:u w:val="single"/>
            <w:lang w:val="en-GB"/>
          </w:rPr>
          <w:t>https://doi.org/10.1037/0003-066X.53.4.449</w:t>
        </w:r>
      </w:hyperlink>
    </w:p>
    <w:p w:rsidR="187F53A1" w:rsidRDefault="187F53A1" w14:paraId="232C7933" w14:textId="4A935C76"/>
    <w:p w:rsidR="0FC4498A" w:rsidP="187F53A1" w:rsidRDefault="0FC4498A" w14:paraId="5D222B32" w14:textId="529AD573">
      <w:pPr>
        <w:pStyle w:val="Normal"/>
        <w:shd w:val="clear" w:color="auto" w:fill="FFFFFF" w:themeFill="background1"/>
        <w:spacing w:before="0" w:beforeAutospacing="off" w:after="240" w:afterAutospacing="off"/>
        <w:jc w:val="left"/>
        <w:rPr>
          <w:rFonts w:ascii="Aptos" w:hAnsi="Aptos" w:eastAsia="Aptos" w:cs="Aptos"/>
          <w:noProof w:val="0"/>
          <w:sz w:val="24"/>
          <w:szCs w:val="24"/>
          <w:lang w:val="en-GB"/>
        </w:rPr>
      </w:pPr>
      <w:r w:rsidRPr="187F53A1" w:rsidR="0FC4498A">
        <w:rPr>
          <w:rFonts w:ascii="Aptos" w:hAnsi="Aptos" w:eastAsia="Aptos" w:cs="Aptos"/>
          <w:noProof w:val="0"/>
          <w:sz w:val="24"/>
          <w:szCs w:val="24"/>
          <w:lang w:val="en-GB"/>
        </w:rPr>
        <w:t>--</w:t>
      </w:r>
      <w:r>
        <w:br/>
      </w:r>
      <w:r>
        <w:br/>
      </w:r>
      <w:r w:rsidRPr="187F53A1" w:rsidR="1C3B9036">
        <w:rPr>
          <w:rFonts w:ascii="Aptos" w:hAnsi="Aptos" w:eastAsia="Aptos" w:cs="Aptos"/>
          <w:noProof w:val="0"/>
          <w:sz w:val="24"/>
          <w:szCs w:val="24"/>
          <w:lang w:val="en-GB"/>
        </w:rPr>
        <w:t>PR2:</w:t>
      </w:r>
      <w:r>
        <w:br/>
      </w:r>
      <w:r>
        <w:br/>
      </w:r>
    </w:p>
    <w:p w:rsidR="469C95EE" w:rsidP="187F53A1" w:rsidRDefault="469C95EE" w14:paraId="0FFCAC93" w14:textId="1AB5C126">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Emily, your post provides a balanced application of Grice’s maxims, particularly your caution against assuming that psychographic targeting automatically violates Quality or Manner. I agree that selective presentation is more clearly problematic under Quantity than Quality when the information presented remains factually accurate. However, this also raises a wider issue about whether technically satisfying individual maxims is sufficient for genuinely cooperative political communication. A message may be truthful, relevant and clear while still giving voters a strategically incomplete representation of a candidate or policy.</w:t>
      </w:r>
    </w:p>
    <w:p w:rsidR="469C95EE" w:rsidP="187F53A1" w:rsidRDefault="469C95EE" w14:paraId="1279C40B" w14:textId="13E0CB6D">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I was particularly interested in your argument that critical thinking could reduce bias within political advertising agencies. Systematically testing assumptions should improve decision-making, but critical thinking may not necessarily remove bias when reasoning is directed towards a predetermined goal. Kunda (1990) demonstrated that motivation can influence how evidence is selected and evaluated, allowing people to construct apparently reasonable conclusions that favour desired outcomes. Political agencies could therefore use sophisticated analytical skills to test which messages are most persuasive without critically questioning the assumptions or objectives underlying the campaign itself. Halpern’s (1998) emphasis on metacognitive monitoring is important here because agencies would need to reflect not only on </w:t>
      </w:r>
      <w:r w:rsidRPr="187F53A1" w:rsidR="469C95EE">
        <w:rPr>
          <w:rFonts w:ascii="Aptos" w:hAnsi="Aptos" w:eastAsia="Aptos" w:cs="Aptos"/>
          <w:b w:val="0"/>
          <w:bCs w:val="0"/>
          <w:i w:val="1"/>
          <w:iCs w:val="1"/>
          <w:caps w:val="0"/>
          <w:smallCaps w:val="0"/>
          <w:noProof w:val="0"/>
          <w:color w:val="4C5A73"/>
          <w:sz w:val="24"/>
          <w:szCs w:val="24"/>
          <w:lang w:val="en-GB"/>
        </w:rPr>
        <w:t>whether</w:t>
      </w:r>
      <w:r w:rsidRPr="187F53A1" w:rsidR="469C95EE">
        <w:rPr>
          <w:rFonts w:ascii="Aptos" w:hAnsi="Aptos" w:eastAsia="Aptos" w:cs="Aptos"/>
          <w:b w:val="0"/>
          <w:bCs w:val="0"/>
          <w:i w:val="0"/>
          <w:iCs w:val="0"/>
          <w:caps w:val="0"/>
          <w:smallCaps w:val="0"/>
          <w:noProof w:val="0"/>
          <w:color w:val="4C5A73"/>
          <w:sz w:val="24"/>
          <w:szCs w:val="24"/>
          <w:lang w:val="en-GB"/>
        </w:rPr>
        <w:t xml:space="preserve"> a strategy works, but also on how their goals influence the evidence they prioritise.</w:t>
      </w:r>
    </w:p>
    <w:p w:rsidR="469C95EE" w:rsidP="187F53A1" w:rsidRDefault="469C95EE" w14:paraId="7D1304F2" w14:textId="1D02800A">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I would also qualify the use of Butler (2012). The finding that stronger critical-thinking performance predicts fewer negative real-world outcomes supports the practical importance of critical thinking, but does not directly demonstrate that such skills can be taught. Evidence for learnability therefore comes more clearly from research on explicit instruction and transfer, including Dumitru and Halpern (2023).</w:t>
      </w:r>
    </w:p>
    <w:p w:rsidR="469C95EE" w:rsidP="187F53A1" w:rsidRDefault="469C95EE" w14:paraId="23DF4402" w14:textId="0940F1C6">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This creates an interesting tension: an agency may demonstrate excellent critical thinking internally while designing communication that reduces the voter’s opportunity to do the same. Should successful political critical thinking therefore be judged only by the quality of the agency’s reasoning, or also by whether its communication enables informed reasoning by the audience?</w:t>
      </w:r>
    </w:p>
    <w:p w:rsidR="469C95EE" w:rsidP="187F53A1" w:rsidRDefault="469C95EE" w14:paraId="4CC2BCE6" w14:textId="25AA2F1A">
      <w:pPr>
        <w:shd w:val="clear" w:color="auto" w:fill="FFFFFF" w:themeFill="background1"/>
        <w:spacing w:before="0" w:beforeAutospacing="off" w:after="240" w:afterAutospacing="off"/>
        <w:jc w:val="left"/>
      </w:pPr>
      <w:r w:rsidRPr="187F53A1" w:rsidR="469C95EE">
        <w:rPr>
          <w:rFonts w:ascii="Aptos" w:hAnsi="Aptos" w:eastAsia="Aptos" w:cs="Aptos"/>
          <w:b w:val="1"/>
          <w:bCs w:val="1"/>
          <w:i w:val="0"/>
          <w:iCs w:val="0"/>
          <w:caps w:val="0"/>
          <w:smallCaps w:val="0"/>
          <w:noProof w:val="0"/>
          <w:color w:val="4C5A73"/>
          <w:sz w:val="24"/>
          <w:szCs w:val="24"/>
          <w:lang w:val="en-GB"/>
        </w:rPr>
        <w:t>References</w:t>
      </w:r>
    </w:p>
    <w:p w:rsidR="469C95EE" w:rsidP="187F53A1" w:rsidRDefault="469C95EE" w14:paraId="66629E11" w14:textId="16BA61FD">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Butler, H. A. (2012). Halpern Critical Thinking Assessment predicts real-world outcomes of critical thinking. </w:t>
      </w:r>
      <w:r w:rsidRPr="187F53A1" w:rsidR="469C95EE">
        <w:rPr>
          <w:rFonts w:ascii="Aptos" w:hAnsi="Aptos" w:eastAsia="Aptos" w:cs="Aptos"/>
          <w:b w:val="0"/>
          <w:bCs w:val="0"/>
          <w:i w:val="1"/>
          <w:iCs w:val="1"/>
          <w:caps w:val="0"/>
          <w:smallCaps w:val="0"/>
          <w:noProof w:val="0"/>
          <w:color w:val="4C5A73"/>
          <w:sz w:val="24"/>
          <w:szCs w:val="24"/>
          <w:lang w:val="en-GB"/>
        </w:rPr>
        <w:t>Applied Cognitive Psychology, 26</w:t>
      </w:r>
      <w:r w:rsidRPr="187F53A1" w:rsidR="469C95EE">
        <w:rPr>
          <w:rFonts w:ascii="Aptos" w:hAnsi="Aptos" w:eastAsia="Aptos" w:cs="Aptos"/>
          <w:b w:val="0"/>
          <w:bCs w:val="0"/>
          <w:i w:val="0"/>
          <w:iCs w:val="0"/>
          <w:caps w:val="0"/>
          <w:smallCaps w:val="0"/>
          <w:noProof w:val="0"/>
          <w:color w:val="4C5A73"/>
          <w:sz w:val="24"/>
          <w:szCs w:val="24"/>
          <w:lang w:val="en-GB"/>
        </w:rPr>
        <w:t xml:space="preserve">(5), 721–729. </w:t>
      </w:r>
      <w:hyperlink r:id="Rdf70273ef0294dfd">
        <w:r w:rsidRPr="187F53A1" w:rsidR="469C95EE">
          <w:rPr>
            <w:rStyle w:val="Hyperlink"/>
            <w:b w:val="1"/>
            <w:bCs w:val="1"/>
            <w:i w:val="0"/>
            <w:iCs w:val="0"/>
            <w:caps w:val="0"/>
            <w:smallCaps w:val="0"/>
            <w:strike w:val="0"/>
            <w:dstrike w:val="0"/>
            <w:noProof w:val="0"/>
            <w:color w:val="622567"/>
            <w:u w:val="single"/>
            <w:lang w:val="en-GB"/>
          </w:rPr>
          <w:t>https://doi.org/10.1002/acp.2851</w:t>
        </w:r>
      </w:hyperlink>
    </w:p>
    <w:p w:rsidR="469C95EE" w:rsidP="187F53A1" w:rsidRDefault="469C95EE" w14:paraId="7242E81D" w14:textId="02D349D1">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Dumitru, D., &amp; Halpern, D. F. (2023). Critical thinking: Creating job-proof skills for the future of work. </w:t>
      </w:r>
      <w:r w:rsidRPr="187F53A1" w:rsidR="469C95EE">
        <w:rPr>
          <w:rFonts w:ascii="Aptos" w:hAnsi="Aptos" w:eastAsia="Aptos" w:cs="Aptos"/>
          <w:b w:val="0"/>
          <w:bCs w:val="0"/>
          <w:i w:val="1"/>
          <w:iCs w:val="1"/>
          <w:caps w:val="0"/>
          <w:smallCaps w:val="0"/>
          <w:noProof w:val="0"/>
          <w:color w:val="4C5A73"/>
          <w:sz w:val="24"/>
          <w:szCs w:val="24"/>
          <w:lang w:val="en-GB"/>
        </w:rPr>
        <w:t>Journal of Intelligence, 11</w:t>
      </w:r>
      <w:r w:rsidRPr="187F53A1" w:rsidR="469C95EE">
        <w:rPr>
          <w:rFonts w:ascii="Aptos" w:hAnsi="Aptos" w:eastAsia="Aptos" w:cs="Aptos"/>
          <w:b w:val="0"/>
          <w:bCs w:val="0"/>
          <w:i w:val="0"/>
          <w:iCs w:val="0"/>
          <w:caps w:val="0"/>
          <w:smallCaps w:val="0"/>
          <w:noProof w:val="0"/>
          <w:color w:val="4C5A73"/>
          <w:sz w:val="24"/>
          <w:szCs w:val="24"/>
          <w:lang w:val="en-GB"/>
        </w:rPr>
        <w:t xml:space="preserve">(10), 194. </w:t>
      </w:r>
      <w:hyperlink r:id="R411ae3e444cc48f2">
        <w:r w:rsidRPr="187F53A1" w:rsidR="469C95EE">
          <w:rPr>
            <w:rStyle w:val="Hyperlink"/>
            <w:b w:val="1"/>
            <w:bCs w:val="1"/>
            <w:i w:val="0"/>
            <w:iCs w:val="0"/>
            <w:caps w:val="0"/>
            <w:smallCaps w:val="0"/>
            <w:strike w:val="0"/>
            <w:dstrike w:val="0"/>
            <w:noProof w:val="0"/>
            <w:color w:val="622567"/>
            <w:u w:val="single"/>
            <w:lang w:val="en-GB"/>
          </w:rPr>
          <w:t>https://doi.org/10.3390/jintelligence11100194</w:t>
        </w:r>
      </w:hyperlink>
    </w:p>
    <w:p w:rsidR="469C95EE" w:rsidP="187F53A1" w:rsidRDefault="469C95EE" w14:paraId="2A79E00B" w14:textId="5F1FF21A">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187F53A1" w:rsidR="469C95EE">
        <w:rPr>
          <w:rFonts w:ascii="Aptos" w:hAnsi="Aptos" w:eastAsia="Aptos" w:cs="Aptos"/>
          <w:b w:val="0"/>
          <w:bCs w:val="0"/>
          <w:i w:val="1"/>
          <w:iCs w:val="1"/>
          <w:caps w:val="0"/>
          <w:smallCaps w:val="0"/>
          <w:noProof w:val="0"/>
          <w:color w:val="4C5A73"/>
          <w:sz w:val="24"/>
          <w:szCs w:val="24"/>
          <w:lang w:val="en-GB"/>
        </w:rPr>
        <w:t>Syntax and semantics: Vol. 3. Speech acts</w:t>
      </w:r>
      <w:r w:rsidRPr="187F53A1" w:rsidR="469C95EE">
        <w:rPr>
          <w:rFonts w:ascii="Aptos" w:hAnsi="Aptos" w:eastAsia="Aptos" w:cs="Aptos"/>
          <w:b w:val="0"/>
          <w:bCs w:val="0"/>
          <w:i w:val="0"/>
          <w:iCs w:val="0"/>
          <w:caps w:val="0"/>
          <w:smallCaps w:val="0"/>
          <w:noProof w:val="0"/>
          <w:color w:val="4C5A73"/>
          <w:sz w:val="24"/>
          <w:szCs w:val="24"/>
          <w:lang w:val="en-GB"/>
        </w:rPr>
        <w:t xml:space="preserve"> (pp. 41–58). Academic Press.</w:t>
      </w:r>
    </w:p>
    <w:p w:rsidR="469C95EE" w:rsidP="187F53A1" w:rsidRDefault="469C95EE" w14:paraId="0E09B622" w14:textId="602120F1">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187F53A1" w:rsidR="469C95EE">
        <w:rPr>
          <w:rFonts w:ascii="Aptos" w:hAnsi="Aptos" w:eastAsia="Aptos" w:cs="Aptos"/>
          <w:b w:val="0"/>
          <w:bCs w:val="0"/>
          <w:i w:val="1"/>
          <w:iCs w:val="1"/>
          <w:caps w:val="0"/>
          <w:smallCaps w:val="0"/>
          <w:noProof w:val="0"/>
          <w:color w:val="4C5A73"/>
          <w:sz w:val="24"/>
          <w:szCs w:val="24"/>
          <w:lang w:val="en-GB"/>
        </w:rPr>
        <w:t>American Psychologist, 53</w:t>
      </w:r>
      <w:r w:rsidRPr="187F53A1" w:rsidR="469C95EE">
        <w:rPr>
          <w:rFonts w:ascii="Aptos" w:hAnsi="Aptos" w:eastAsia="Aptos" w:cs="Aptos"/>
          <w:b w:val="0"/>
          <w:bCs w:val="0"/>
          <w:i w:val="0"/>
          <w:iCs w:val="0"/>
          <w:caps w:val="0"/>
          <w:smallCaps w:val="0"/>
          <w:noProof w:val="0"/>
          <w:color w:val="4C5A73"/>
          <w:sz w:val="24"/>
          <w:szCs w:val="24"/>
          <w:lang w:val="en-GB"/>
        </w:rPr>
        <w:t xml:space="preserve">(4), 449–455. </w:t>
      </w:r>
      <w:hyperlink r:id="R6349e341bd0e4ef8">
        <w:r w:rsidRPr="187F53A1" w:rsidR="469C95EE">
          <w:rPr>
            <w:rStyle w:val="Hyperlink"/>
            <w:b w:val="1"/>
            <w:bCs w:val="1"/>
            <w:i w:val="0"/>
            <w:iCs w:val="0"/>
            <w:caps w:val="0"/>
            <w:smallCaps w:val="0"/>
            <w:strike w:val="0"/>
            <w:dstrike w:val="0"/>
            <w:noProof w:val="0"/>
            <w:color w:val="622567"/>
            <w:u w:val="single"/>
            <w:lang w:val="en-GB"/>
          </w:rPr>
          <w:t>https://doi.org/10.1037/0003-066X.53.4.449</w:t>
        </w:r>
      </w:hyperlink>
    </w:p>
    <w:p w:rsidR="469C95EE" w:rsidP="187F53A1" w:rsidRDefault="469C95EE" w14:paraId="3FFAD320" w14:textId="02389877">
      <w:pPr>
        <w:shd w:val="clear" w:color="auto" w:fill="FFFFFF" w:themeFill="background1"/>
        <w:spacing w:before="0" w:beforeAutospacing="off" w:after="240" w:afterAutospacing="off"/>
        <w:jc w:val="left"/>
      </w:pPr>
      <w:r w:rsidRPr="187F53A1" w:rsidR="469C95EE">
        <w:rPr>
          <w:rFonts w:ascii="Aptos" w:hAnsi="Aptos" w:eastAsia="Aptos" w:cs="Aptos"/>
          <w:b w:val="0"/>
          <w:bCs w:val="0"/>
          <w:i w:val="0"/>
          <w:iCs w:val="0"/>
          <w:caps w:val="0"/>
          <w:smallCaps w:val="0"/>
          <w:noProof w:val="0"/>
          <w:color w:val="4C5A73"/>
          <w:sz w:val="24"/>
          <w:szCs w:val="24"/>
          <w:lang w:val="en-GB"/>
        </w:rPr>
        <w:t xml:space="preserve">Kunda, Z. (1990). The case for motivated reasoning. </w:t>
      </w:r>
      <w:r w:rsidRPr="187F53A1" w:rsidR="469C95EE">
        <w:rPr>
          <w:rFonts w:ascii="Aptos" w:hAnsi="Aptos" w:eastAsia="Aptos" w:cs="Aptos"/>
          <w:b w:val="0"/>
          <w:bCs w:val="0"/>
          <w:i w:val="1"/>
          <w:iCs w:val="1"/>
          <w:caps w:val="0"/>
          <w:smallCaps w:val="0"/>
          <w:noProof w:val="0"/>
          <w:color w:val="4C5A73"/>
          <w:sz w:val="24"/>
          <w:szCs w:val="24"/>
          <w:lang w:val="en-GB"/>
        </w:rPr>
        <w:t>Psychological Bulletin, 108</w:t>
      </w:r>
      <w:r w:rsidRPr="187F53A1" w:rsidR="469C95EE">
        <w:rPr>
          <w:rFonts w:ascii="Aptos" w:hAnsi="Aptos" w:eastAsia="Aptos" w:cs="Aptos"/>
          <w:b w:val="0"/>
          <w:bCs w:val="0"/>
          <w:i w:val="0"/>
          <w:iCs w:val="0"/>
          <w:caps w:val="0"/>
          <w:smallCaps w:val="0"/>
          <w:noProof w:val="0"/>
          <w:color w:val="4C5A73"/>
          <w:sz w:val="24"/>
          <w:szCs w:val="24"/>
          <w:lang w:val="en-GB"/>
        </w:rPr>
        <w:t xml:space="preserve">(3), 480–498. </w:t>
      </w:r>
      <w:hyperlink r:id="Ra587a96f692b4402">
        <w:r w:rsidRPr="187F53A1" w:rsidR="469C95EE">
          <w:rPr>
            <w:rStyle w:val="Hyperlink"/>
            <w:b w:val="1"/>
            <w:bCs w:val="1"/>
            <w:i w:val="0"/>
            <w:iCs w:val="0"/>
            <w:caps w:val="0"/>
            <w:smallCaps w:val="0"/>
            <w:strike w:val="0"/>
            <w:dstrike w:val="0"/>
            <w:noProof w:val="0"/>
            <w:color w:val="622567"/>
            <w:u w:val="single"/>
            <w:lang w:val="en-GB"/>
          </w:rPr>
          <w:t>https://doi.org/10.1037/0033-2909.108.3.480</w:t>
        </w:r>
      </w:hyperlink>
    </w:p>
    <w:p w:rsidR="187F53A1" w:rsidP="187F53A1" w:rsidRDefault="187F53A1" w14:paraId="318BF238" w14:textId="036F1063">
      <w:pPr>
        <w:pStyle w:val="Normal"/>
        <w:rPr>
          <w:rFonts w:ascii="Aptos" w:hAnsi="Aptos" w:eastAsia="Aptos" w:cs="Aptos"/>
          <w:noProof w:val="0"/>
          <w:sz w:val="24"/>
          <w:szCs w:val="24"/>
          <w:lang w:val="en-GB"/>
        </w:rPr>
      </w:pPr>
    </w:p>
    <w:sectPr w:rsidR="00624D3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D4AEA"/>
    <w:rsid w:val="0049787F"/>
    <w:rsid w:val="00624D37"/>
    <w:rsid w:val="036D4AEA"/>
    <w:rsid w:val="0FC4498A"/>
    <w:rsid w:val="187F53A1"/>
    <w:rsid w:val="1C3B9036"/>
    <w:rsid w:val="3A1CB0CD"/>
    <w:rsid w:val="469C95EE"/>
    <w:rsid w:val="4DACF626"/>
    <w:rsid w:val="508F8DE2"/>
    <w:rsid w:val="606A6342"/>
    <w:rsid w:val="672AE1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18AF"/>
  <w15:chartTrackingRefBased/>
  <w15:docId w15:val="{ECD53B84-8266-4574-837F-E3F4713F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87F53A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1300&amp;course=15414" TargetMode="External" Id="Rdaf33a1f6718432a" /><Relationship Type="http://schemas.openxmlformats.org/officeDocument/2006/relationships/hyperlink" Target="https://doi.org/10.3102/0034654314551063" TargetMode="External" Id="R897a32440ea54578" /><Relationship Type="http://schemas.openxmlformats.org/officeDocument/2006/relationships/hyperlink" Target="https://doi.org/10.1037/0003-066X.53.4.449" TargetMode="External" Id="R51873393548048d2" /><Relationship Type="http://schemas.openxmlformats.org/officeDocument/2006/relationships/hyperlink" Target="https://doi.org/10.3102/0034654314551063" TargetMode="External" Id="R3bf9b64ecc44450a" /><Relationship Type="http://schemas.openxmlformats.org/officeDocument/2006/relationships/hyperlink" Target="https://doi.org/10.1037/0003-066X.53.4.449" TargetMode="External" Id="Rc607ef08db5649b7" /><Relationship Type="http://schemas.openxmlformats.org/officeDocument/2006/relationships/hyperlink" Target="https://doi.org/10.1002/acp.2851" TargetMode="External" Id="Rdf70273ef0294dfd" /><Relationship Type="http://schemas.openxmlformats.org/officeDocument/2006/relationships/hyperlink" Target="https://doi.org/10.3390/jintelligence11100194" TargetMode="External" Id="R411ae3e444cc48f2" /><Relationship Type="http://schemas.openxmlformats.org/officeDocument/2006/relationships/hyperlink" Target="https://doi.org/10.1037/0003-066X.53.4.449" TargetMode="External" Id="R6349e341bd0e4ef8" /><Relationship Type="http://schemas.openxmlformats.org/officeDocument/2006/relationships/hyperlink" Target="https://doi.org/10.1037/0033-2909.108.3.480" TargetMode="External" Id="Ra587a96f692b440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2026-08-28T11:40:00.0000000Z</dcterms:created>
  <dcterms:modified xsi:type="dcterms:W3CDTF">2026-08-28T11:42:13.2962122Z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2026-08-28T11:40:02Z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cd0093e0-ef8d-46fd-9b24-535f562ace54</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