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6E7" w:rsidP="41446685" w:rsidRDefault="009B26E7" w14:paraId="70332DAE" w14:textId="03C56846">
      <w:pPr>
        <w:pStyle w:val="Normal"/>
        <w:suppressLineNumbers w:val="0"/>
        <w:shd w:val="clear" w:color="auto" w:fill="FFFFFF" w:themeFill="background1"/>
        <w:bidi w:val="0"/>
        <w:spacing w:before="0" w:beforeAutospacing="off" w:after="240" w:afterAutospacing="off" w:line="279" w:lineRule="auto"/>
        <w:ind w:left="0" w:right="0"/>
        <w:jc w:val="center"/>
      </w:pPr>
      <w:r w:rsidRPr="41446685" w:rsidR="6F4DBAE2">
        <w:rPr>
          <w:rFonts w:ascii="Aptos" w:hAnsi="Aptos" w:eastAsia="Aptos" w:cs="Aptos"/>
          <w:b w:val="1"/>
          <w:bCs w:val="1"/>
          <w:i w:val="0"/>
          <w:iCs w:val="0"/>
          <w:caps w:val="0"/>
          <w:smallCaps w:val="0"/>
          <w:noProof w:val="0"/>
          <w:color w:val="4C5A73"/>
          <w:sz w:val="24"/>
          <w:szCs w:val="24"/>
          <w:lang w:val="en-GB"/>
        </w:rPr>
        <w:t>Sharon Smith</w:t>
      </w:r>
    </w:p>
    <w:p w:rsidR="009B26E7" w:rsidP="41446685" w:rsidRDefault="009B26E7" w14:paraId="6E6A3079" w14:textId="4AB06030">
      <w:pPr>
        <w:shd w:val="clear" w:color="auto" w:fill="FFFFFF" w:themeFill="background1"/>
        <w:spacing w:before="0" w:beforeAutospacing="off" w:after="240" w:afterAutospacing="off"/>
        <w:jc w:val="center"/>
      </w:pPr>
      <w:r w:rsidRPr="41446685" w:rsidR="6F4DBAE2">
        <w:rPr>
          <w:rFonts w:ascii="Aptos" w:hAnsi="Aptos" w:eastAsia="Aptos" w:cs="Aptos"/>
          <w:b w:val="1"/>
          <w:bCs w:val="1"/>
          <w:i w:val="0"/>
          <w:iCs w:val="0"/>
          <w:caps w:val="0"/>
          <w:smallCaps w:val="0"/>
          <w:noProof w:val="0"/>
          <w:color w:val="4C5A73"/>
          <w:sz w:val="24"/>
          <w:szCs w:val="24"/>
          <w:lang w:val="en-GB"/>
        </w:rPr>
        <w:t>Initial Post</w:t>
      </w:r>
    </w:p>
    <w:p w:rsidR="009B26E7" w:rsidP="41446685" w:rsidRDefault="009B26E7" w14:paraId="1A1C132C" w14:textId="30850EE1">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Psychographic targeting demonstrates the increasingly close relationship between psychology, marketing and political communication. aimClear (2015) describes how psychological and behavioural data can be used to segment voters and tailor political messages. Although targeting may increase relevance, its use raises questions about whether political communication remains cooperative in Grice’s (1975) sense.</w:t>
      </w:r>
    </w:p>
    <w:p w:rsidR="009B26E7" w:rsidP="41446685" w:rsidRDefault="009B26E7" w14:paraId="2778F3FF" w14:textId="5B9C8E44">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Grice’s Cooperative Principle proposes that speakers normally contribute appropriately to a shared communicative purpose through the maxims of quantity, quality, relation and manner. Psychographic political advertising can challenge these principles when campaigns present selective messages to different audiences. The maxim of quality may be undermined when persuasive claims lack sufficient evidence; quantity when relevant information is omitted; relation when messages are selected primarily for psychological impact rather than relevance to voters’ informational needs; and manner when the persuasive purpose or targeting process is obscured. However, targeting itself does not necessarily violate Grice. Personalised communication can remain cooperative when it is accurate, relevant and transparent. The critical issue is therefore whether psychological targeting shifts communication from informing citizens towards manipulating them. Bakir (2020) highlights concerns about opacity and psychological manipulation in political profiling. Conversely, recent experimental evidence suggests that personality-congruent political advertising can increase perceived relevance and persuasion under some conditions, although these effects were found using self-reported rather than algorithmically inferred personality (Zarouali et al., 2024).</w:t>
      </w:r>
    </w:p>
    <w:p w:rsidR="009B26E7" w:rsidP="41446685" w:rsidRDefault="009B26E7" w14:paraId="7A044975" w14:textId="2BDCE13D">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Halpern’s (1998) model provides a useful framework for evaluating these practices because critical thinking involves deliberate cognitive skills and strategies supported by dispositions, structural training and metacognitive monitoring. Agencies could apply these skills by questioning the reliability and representativeness of their data, distinguishing correlation from causation, identifying assumptions and considering alternative explanations. They could also use metacognitive monitoring to examine whether confirmation bias or campaign objectives are influencing interpretation. This matters because sophisticated data analysis may appear objective while still producing questionable conclusions.</w:t>
      </w:r>
    </w:p>
    <w:p w:rsidR="009B26E7" w:rsidP="41446685" w:rsidRDefault="009B26E7" w14:paraId="75BF684E" w14:textId="253BC170">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Evidence indicates that critical thinking can be taught, although transfer is not automatic. Abrami et al. (2015) found a significant positive effect of instructional interventions on critical-thinking skills and dispositions, although the overall effect was modest (g = 0.30). Halpern (1998) similarly emphasises explicit instruction, practice across contexts and metacognitive monitoring to support transfer. In political advertising agencies, these skills could be developed through structured evaluation of campaign claims, challenge sessions, authentic case studies and post-campaign reflection. However, organisational pressures may constrain their application: employees may identify weaknesses in evidence but still prioritise persuasive effectiveness. Thus, learning critical-thinking skills does not guarantee ethical application.</w:t>
      </w:r>
    </w:p>
    <w:p w:rsidR="009B26E7" w:rsidP="41446685" w:rsidRDefault="009B26E7" w14:paraId="1A4153E6" w14:textId="3E7A3F4F">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Gricean communication is therefore relevant to critical thinking but is not sufficient as an ethical framework. Grice provides principles for evaluating whether communication is truthful, informative, relevant and clear, whereas Halpern provides a framework for evaluating the reasoning behind decisions. A message could satisfy some Gricean maxims while remaining psychologically manipulative. Consequently, responsible political advertising requires agencies to critically evaluate both the evidence underlying targeting strategies and the communicative consequences of using them. Overall, Grice and Halpern are complementary: one evaluates the conditions of communication, while the other strengthens the reasoning used to produce and interpret it.</w:t>
      </w:r>
    </w:p>
    <w:p w:rsidR="009B26E7" w:rsidP="41446685" w:rsidRDefault="009B26E7" w14:paraId="703841BA" w14:textId="747919BF">
      <w:pPr>
        <w:shd w:val="clear" w:color="auto" w:fill="FFFFFF" w:themeFill="background1"/>
        <w:spacing w:before="0" w:beforeAutospacing="off" w:after="240" w:afterAutospacing="off"/>
        <w:jc w:val="center"/>
      </w:pPr>
      <w:r w:rsidRPr="41446685" w:rsidR="6F4DBAE2">
        <w:rPr>
          <w:rFonts w:ascii="Aptos" w:hAnsi="Aptos" w:eastAsia="Aptos" w:cs="Aptos"/>
          <w:b w:val="1"/>
          <w:bCs w:val="1"/>
          <w:i w:val="0"/>
          <w:iCs w:val="0"/>
          <w:caps w:val="0"/>
          <w:smallCaps w:val="0"/>
          <w:noProof w:val="0"/>
          <w:color w:val="4C5A73"/>
          <w:sz w:val="24"/>
          <w:szCs w:val="24"/>
          <w:lang w:val="en-GB"/>
        </w:rPr>
        <w:t>References</w:t>
      </w:r>
    </w:p>
    <w:p w:rsidR="009B26E7" w:rsidP="41446685" w:rsidRDefault="009B26E7" w14:paraId="59201FF6" w14:textId="71067AF6">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41446685" w:rsidR="6F4DBAE2">
        <w:rPr>
          <w:rFonts w:ascii="Aptos" w:hAnsi="Aptos" w:eastAsia="Aptos" w:cs="Aptos"/>
          <w:b w:val="0"/>
          <w:bCs w:val="0"/>
          <w:i w:val="1"/>
          <w:iCs w:val="1"/>
          <w:caps w:val="0"/>
          <w:smallCaps w:val="0"/>
          <w:noProof w:val="0"/>
          <w:color w:val="4C5A73"/>
          <w:sz w:val="24"/>
          <w:szCs w:val="24"/>
          <w:lang w:val="en-GB"/>
        </w:rPr>
        <w:t>Review of Educational Research, 85</w:t>
      </w:r>
      <w:r w:rsidRPr="41446685" w:rsidR="6F4DBAE2">
        <w:rPr>
          <w:rFonts w:ascii="Aptos" w:hAnsi="Aptos" w:eastAsia="Aptos" w:cs="Aptos"/>
          <w:b w:val="0"/>
          <w:bCs w:val="0"/>
          <w:i w:val="0"/>
          <w:iCs w:val="0"/>
          <w:caps w:val="0"/>
          <w:smallCaps w:val="0"/>
          <w:noProof w:val="0"/>
          <w:color w:val="4C5A73"/>
          <w:sz w:val="24"/>
          <w:szCs w:val="24"/>
          <w:lang w:val="en-GB"/>
        </w:rPr>
        <w:t xml:space="preserve">(2), 275–314. </w:t>
      </w:r>
      <w:hyperlink r:id="R4227135249b44ea4">
        <w:r w:rsidRPr="41446685" w:rsidR="6F4DBAE2">
          <w:rPr>
            <w:rStyle w:val="Hyperlink"/>
            <w:b w:val="1"/>
            <w:bCs w:val="1"/>
            <w:i w:val="0"/>
            <w:iCs w:val="0"/>
            <w:caps w:val="0"/>
            <w:smallCaps w:val="0"/>
            <w:strike w:val="0"/>
            <w:dstrike w:val="0"/>
            <w:noProof w:val="0"/>
            <w:color w:val="622567"/>
            <w:u w:val="single"/>
            <w:lang w:val="en-GB"/>
          </w:rPr>
          <w:t>https://doi.org/10.3102/0034654314551063</w:t>
        </w:r>
      </w:hyperlink>
    </w:p>
    <w:p w:rsidR="009B26E7" w:rsidP="41446685" w:rsidRDefault="009B26E7" w14:paraId="3E778A48" w14:textId="6D8CA334">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aimClear. (2015, December 3). </w:t>
      </w:r>
      <w:r w:rsidRPr="41446685" w:rsidR="6F4DBAE2">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41446685" w:rsidR="6F4DBAE2">
        <w:rPr>
          <w:rFonts w:ascii="Aptos" w:hAnsi="Aptos" w:eastAsia="Aptos" w:cs="Aptos"/>
          <w:b w:val="0"/>
          <w:bCs w:val="0"/>
          <w:i w:val="0"/>
          <w:iCs w:val="0"/>
          <w:caps w:val="0"/>
          <w:smallCaps w:val="0"/>
          <w:noProof w:val="0"/>
          <w:color w:val="4C5A73"/>
          <w:sz w:val="24"/>
          <w:szCs w:val="24"/>
          <w:lang w:val="en-GB"/>
        </w:rPr>
        <w:t xml:space="preserve">. </w:t>
      </w:r>
      <w:r w:rsidRPr="41446685" w:rsidR="6F4DBAE2">
        <w:rPr>
          <w:rFonts w:ascii="Aptos" w:hAnsi="Aptos" w:eastAsia="Aptos" w:cs="Aptos"/>
          <w:b w:val="0"/>
          <w:bCs w:val="0"/>
          <w:i w:val="1"/>
          <w:iCs w:val="1"/>
          <w:caps w:val="0"/>
          <w:smallCaps w:val="0"/>
          <w:noProof w:val="0"/>
          <w:color w:val="4C5A73"/>
          <w:sz w:val="24"/>
          <w:szCs w:val="24"/>
          <w:lang w:val="en-GB"/>
        </w:rPr>
        <w:t>Search Engine Land</w:t>
      </w:r>
      <w:r w:rsidRPr="41446685" w:rsidR="6F4DBAE2">
        <w:rPr>
          <w:rFonts w:ascii="Aptos" w:hAnsi="Aptos" w:eastAsia="Aptos" w:cs="Aptos"/>
          <w:b w:val="0"/>
          <w:bCs w:val="0"/>
          <w:i w:val="0"/>
          <w:iCs w:val="0"/>
          <w:caps w:val="0"/>
          <w:smallCaps w:val="0"/>
          <w:noProof w:val="0"/>
          <w:color w:val="4C5A73"/>
          <w:sz w:val="24"/>
          <w:szCs w:val="24"/>
          <w:lang w:val="en-GB"/>
        </w:rPr>
        <w:t xml:space="preserve">. </w:t>
      </w:r>
      <w:hyperlink r:id="R6cafab709ef34ad4">
        <w:r w:rsidRPr="41446685" w:rsidR="6F4DBAE2">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009B26E7" w:rsidP="41446685" w:rsidRDefault="009B26E7" w14:paraId="477B36DB" w14:textId="7D8B5B1C">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Bakir, V. (2020). Psychological operations in digital political campaigns: Assessing Cambridge Analytica’s psychographic profiling and targeting. </w:t>
      </w:r>
      <w:r w:rsidRPr="41446685" w:rsidR="6F4DBAE2">
        <w:rPr>
          <w:rFonts w:ascii="Aptos" w:hAnsi="Aptos" w:eastAsia="Aptos" w:cs="Aptos"/>
          <w:b w:val="0"/>
          <w:bCs w:val="0"/>
          <w:i w:val="1"/>
          <w:iCs w:val="1"/>
          <w:caps w:val="0"/>
          <w:smallCaps w:val="0"/>
          <w:noProof w:val="0"/>
          <w:color w:val="4C5A73"/>
          <w:sz w:val="24"/>
          <w:szCs w:val="24"/>
          <w:lang w:val="en-GB"/>
        </w:rPr>
        <w:t>Frontiers in Communication, 5</w:t>
      </w:r>
      <w:r w:rsidRPr="41446685" w:rsidR="6F4DBAE2">
        <w:rPr>
          <w:rFonts w:ascii="Aptos" w:hAnsi="Aptos" w:eastAsia="Aptos" w:cs="Aptos"/>
          <w:b w:val="0"/>
          <w:bCs w:val="0"/>
          <w:i w:val="0"/>
          <w:iCs w:val="0"/>
          <w:caps w:val="0"/>
          <w:smallCaps w:val="0"/>
          <w:noProof w:val="0"/>
          <w:color w:val="4C5A73"/>
          <w:sz w:val="24"/>
          <w:szCs w:val="24"/>
          <w:lang w:val="en-GB"/>
        </w:rPr>
        <w:t xml:space="preserve">, Article 67. </w:t>
      </w:r>
      <w:hyperlink r:id="R0b25f77ad8ef4c3c">
        <w:r w:rsidRPr="41446685" w:rsidR="6F4DBAE2">
          <w:rPr>
            <w:rStyle w:val="Hyperlink"/>
            <w:b w:val="1"/>
            <w:bCs w:val="1"/>
            <w:i w:val="0"/>
            <w:iCs w:val="0"/>
            <w:caps w:val="0"/>
            <w:smallCaps w:val="0"/>
            <w:strike w:val="0"/>
            <w:dstrike w:val="0"/>
            <w:noProof w:val="0"/>
            <w:color w:val="622567"/>
            <w:u w:val="single"/>
            <w:lang w:val="en-GB"/>
          </w:rPr>
          <w:t>https://doi.org/10.3389/fcomm.2020.00067</w:t>
        </w:r>
      </w:hyperlink>
    </w:p>
    <w:p w:rsidR="009B26E7" w:rsidP="41446685" w:rsidRDefault="009B26E7" w14:paraId="123485A3" w14:textId="366D613B">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41446685" w:rsidR="6F4DBAE2">
        <w:rPr>
          <w:rFonts w:ascii="Aptos" w:hAnsi="Aptos" w:eastAsia="Aptos" w:cs="Aptos"/>
          <w:b w:val="0"/>
          <w:bCs w:val="0"/>
          <w:i w:val="1"/>
          <w:iCs w:val="1"/>
          <w:caps w:val="0"/>
          <w:smallCaps w:val="0"/>
          <w:noProof w:val="0"/>
          <w:color w:val="4C5A73"/>
          <w:sz w:val="24"/>
          <w:szCs w:val="24"/>
          <w:lang w:val="en-GB"/>
        </w:rPr>
        <w:t>Syntax and semantics: Vol. 3. Speech acts</w:t>
      </w:r>
      <w:r w:rsidRPr="41446685" w:rsidR="6F4DBAE2">
        <w:rPr>
          <w:rFonts w:ascii="Aptos" w:hAnsi="Aptos" w:eastAsia="Aptos" w:cs="Aptos"/>
          <w:b w:val="0"/>
          <w:bCs w:val="0"/>
          <w:i w:val="0"/>
          <w:iCs w:val="0"/>
          <w:caps w:val="0"/>
          <w:smallCaps w:val="0"/>
          <w:noProof w:val="0"/>
          <w:color w:val="4C5A73"/>
          <w:sz w:val="24"/>
          <w:szCs w:val="24"/>
          <w:lang w:val="en-GB"/>
        </w:rPr>
        <w:t xml:space="preserve"> (pp. 41–58). Academic Press.</w:t>
      </w:r>
    </w:p>
    <w:p w:rsidR="009B26E7" w:rsidP="41446685" w:rsidRDefault="009B26E7" w14:paraId="105A97FB" w14:textId="1BD98A14">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41446685" w:rsidR="6F4DBAE2">
        <w:rPr>
          <w:rFonts w:ascii="Aptos" w:hAnsi="Aptos" w:eastAsia="Aptos" w:cs="Aptos"/>
          <w:b w:val="0"/>
          <w:bCs w:val="0"/>
          <w:i w:val="1"/>
          <w:iCs w:val="1"/>
          <w:caps w:val="0"/>
          <w:smallCaps w:val="0"/>
          <w:noProof w:val="0"/>
          <w:color w:val="4C5A73"/>
          <w:sz w:val="24"/>
          <w:szCs w:val="24"/>
          <w:lang w:val="en-GB"/>
        </w:rPr>
        <w:t>American Psychologist, 53</w:t>
      </w:r>
      <w:r w:rsidRPr="41446685" w:rsidR="6F4DBAE2">
        <w:rPr>
          <w:rFonts w:ascii="Aptos" w:hAnsi="Aptos" w:eastAsia="Aptos" w:cs="Aptos"/>
          <w:b w:val="0"/>
          <w:bCs w:val="0"/>
          <w:i w:val="0"/>
          <w:iCs w:val="0"/>
          <w:caps w:val="0"/>
          <w:smallCaps w:val="0"/>
          <w:noProof w:val="0"/>
          <w:color w:val="4C5A73"/>
          <w:sz w:val="24"/>
          <w:szCs w:val="24"/>
          <w:lang w:val="en-GB"/>
        </w:rPr>
        <w:t xml:space="preserve">(4), 449–455. </w:t>
      </w:r>
      <w:hyperlink r:id="R64c355d60e314d8d">
        <w:r w:rsidRPr="41446685" w:rsidR="6F4DBAE2">
          <w:rPr>
            <w:rStyle w:val="Hyperlink"/>
            <w:b w:val="1"/>
            <w:bCs w:val="1"/>
            <w:i w:val="0"/>
            <w:iCs w:val="0"/>
            <w:caps w:val="0"/>
            <w:smallCaps w:val="0"/>
            <w:strike w:val="0"/>
            <w:dstrike w:val="0"/>
            <w:noProof w:val="0"/>
            <w:color w:val="622567"/>
            <w:u w:val="single"/>
            <w:lang w:val="en-GB"/>
          </w:rPr>
          <w:t>https://doi.org/10.1037/0003-066X.53.4.449</w:t>
        </w:r>
      </w:hyperlink>
    </w:p>
    <w:p w:rsidR="009B26E7" w:rsidP="41446685" w:rsidRDefault="009B26E7" w14:paraId="0D22F0B2" w14:textId="594F599E">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Zarouali, B., Dobber, T., &amp; Schreuder, J. (2024). Personality and susceptibility to political microtargeting: A comparison between a machine-learning and self-report approach. </w:t>
      </w:r>
      <w:r w:rsidRPr="41446685" w:rsidR="6F4DBAE2">
        <w:rPr>
          <w:rFonts w:ascii="Aptos" w:hAnsi="Aptos" w:eastAsia="Aptos" w:cs="Aptos"/>
          <w:b w:val="0"/>
          <w:bCs w:val="0"/>
          <w:i w:val="1"/>
          <w:iCs w:val="1"/>
          <w:caps w:val="0"/>
          <w:smallCaps w:val="0"/>
          <w:noProof w:val="0"/>
          <w:color w:val="4C5A73"/>
          <w:sz w:val="24"/>
          <w:szCs w:val="24"/>
          <w:lang w:val="en-GB"/>
        </w:rPr>
        <w:t>Computers in Human Behavior, 151</w:t>
      </w:r>
      <w:r w:rsidRPr="41446685" w:rsidR="6F4DBAE2">
        <w:rPr>
          <w:rFonts w:ascii="Aptos" w:hAnsi="Aptos" w:eastAsia="Aptos" w:cs="Aptos"/>
          <w:b w:val="0"/>
          <w:bCs w:val="0"/>
          <w:i w:val="0"/>
          <w:iCs w:val="0"/>
          <w:caps w:val="0"/>
          <w:smallCaps w:val="0"/>
          <w:noProof w:val="0"/>
          <w:color w:val="4C5A73"/>
          <w:sz w:val="24"/>
          <w:szCs w:val="24"/>
          <w:lang w:val="en-GB"/>
        </w:rPr>
        <w:t xml:space="preserve">, Article 108024. </w:t>
      </w:r>
      <w:hyperlink r:id="R27e2f646110442de">
        <w:r w:rsidRPr="41446685" w:rsidR="6F4DBAE2">
          <w:rPr>
            <w:rStyle w:val="Hyperlink"/>
            <w:b w:val="1"/>
            <w:bCs w:val="1"/>
            <w:i w:val="0"/>
            <w:iCs w:val="0"/>
            <w:caps w:val="0"/>
            <w:smallCaps w:val="0"/>
            <w:strike w:val="0"/>
            <w:dstrike w:val="0"/>
            <w:noProof w:val="0"/>
            <w:color w:val="622567"/>
            <w:u w:val="single"/>
            <w:lang w:val="en-GB"/>
          </w:rPr>
          <w:t>https://doi.org/10.1016/j.chb.2023.108024</w:t>
        </w:r>
      </w:hyperlink>
    </w:p>
    <w:p w:rsidR="009B26E7" w:rsidP="41446685" w:rsidRDefault="009B26E7" w14:paraId="58BC7078" w14:textId="7CC0545C">
      <w:pPr>
        <w:shd w:val="clear" w:color="auto" w:fill="FFFFFF" w:themeFill="background1"/>
        <w:spacing w:before="0" w:beforeAutospacing="off" w:after="240" w:afterAutospacing="off"/>
        <w:jc w:val="left"/>
      </w:pPr>
      <w:r w:rsidRPr="41446685" w:rsidR="6F4DBAE2">
        <w:rPr>
          <w:rFonts w:ascii="Aptos" w:hAnsi="Aptos" w:eastAsia="Aptos" w:cs="Aptos"/>
          <w:b w:val="0"/>
          <w:bCs w:val="0"/>
          <w:i w:val="0"/>
          <w:iCs w:val="0"/>
          <w:caps w:val="0"/>
          <w:smallCaps w:val="0"/>
          <w:noProof w:val="0"/>
          <w:color w:val="4C5A73"/>
          <w:sz w:val="24"/>
          <w:szCs w:val="24"/>
          <w:lang w:val="en-GB"/>
        </w:rPr>
        <w:t xml:space="preserve"> </w:t>
      </w:r>
    </w:p>
    <w:p w:rsidR="009B26E7" w:rsidRDefault="009B26E7" w14:paraId="7A24FD2B" w14:textId="52FE0640"/>
    <w:p w:rsidR="009B26E7" w:rsidRDefault="009B26E7" w14:paraId="5E5787A5" w14:textId="026FEE81">
      <w:r w:rsidR="6F4DBAE2">
        <w:rPr/>
        <w:t>--------</w:t>
      </w:r>
    </w:p>
    <w:p w:rsidR="6F4DBAE2" w:rsidP="41446685" w:rsidRDefault="6F4DBAE2" w14:paraId="4428010B" w14:textId="328DE9FF">
      <w:pPr>
        <w:pStyle w:val="Normal"/>
      </w:pPr>
      <w:r w:rsidRPr="41446685" w:rsidR="6F4DBAE2">
        <w:rPr>
          <w:rFonts w:ascii="Aptos" w:hAnsi="Aptos" w:eastAsia="Aptos" w:cs="Aptos"/>
          <w:b w:val="0"/>
          <w:bCs w:val="0"/>
          <w:i w:val="0"/>
          <w:iCs w:val="0"/>
          <w:caps w:val="0"/>
          <w:smallCaps w:val="0"/>
          <w:noProof w:val="0"/>
          <w:color w:val="4C5A73"/>
          <w:sz w:val="24"/>
          <w:szCs w:val="24"/>
          <w:lang w:val="en-GB"/>
        </w:rPr>
        <w:t>Peer Response 1</w:t>
      </w:r>
      <w:r>
        <w:br/>
      </w:r>
      <w:r w:rsidRPr="41446685" w:rsidR="6F4DBAE2">
        <w:rPr>
          <w:rFonts w:ascii="Aptos" w:hAnsi="Aptos" w:eastAsia="Aptos" w:cs="Aptos"/>
          <w:b w:val="0"/>
          <w:bCs w:val="0"/>
          <w:i w:val="0"/>
          <w:iCs w:val="0"/>
          <w:caps w:val="0"/>
          <w:smallCaps w:val="0"/>
          <w:noProof w:val="0"/>
          <w:color w:val="4C5A73"/>
          <w:sz w:val="24"/>
          <w:szCs w:val="24"/>
          <w:lang w:val="en-GB"/>
        </w:rPr>
        <w:t>Arun, your post makes a strong connection between psychographic targeting, Gricean communication and Halpern’s model of critical thinking. I particularly agree with the argument that the same critical-thinking skills used to optimise campaign effectiveness can potentially be directed towards manipulating the assumptions that underpin cooperative communication. Your discussion of the maxim of Quantity is especially persuasive because selectively presenting information can shape the conclusions voters reach without necessarily requiring an explicit falsehood.</w:t>
      </w:r>
      <w:r>
        <w:br/>
      </w:r>
      <w:r w:rsidRPr="41446685" w:rsidR="6F4DBAE2">
        <w:rPr>
          <w:rFonts w:ascii="Aptos" w:hAnsi="Aptos" w:eastAsia="Aptos" w:cs="Aptos"/>
          <w:b w:val="0"/>
          <w:bCs w:val="0"/>
          <w:i w:val="0"/>
          <w:iCs w:val="0"/>
          <w:caps w:val="0"/>
          <w:smallCaps w:val="0"/>
          <w:noProof w:val="0"/>
          <w:color w:val="4C5A73"/>
          <w:sz w:val="24"/>
          <w:szCs w:val="24"/>
          <w:lang w:val="en-GB"/>
        </w:rPr>
        <w:t>One area where I would develop your argument further, however, is the claim that psychographic targeting “fundamentally violates” the Gricean Cooperative Principle. Targeting itself does not necessarily violate Grice’s maxims. A message can be personalised while still being truthful, relevant, sufficiently informative and clear. The potential violation arises when targeting is combined with selective information, misleading framing or deliberate ambiguity. This distinction is important because it separates personalisation as a communication strategy from manipulation as a communication practice. Research by Tappin et al. (2023) provides some empirical support for the persuasive potential of political microtargeting, although their findings suggest that its advantage is dependent on the circumstances rather than being universally effective.</w:t>
      </w:r>
      <w:r>
        <w:br/>
      </w:r>
      <w:r w:rsidRPr="41446685" w:rsidR="6F4DBAE2">
        <w:rPr>
          <w:rFonts w:ascii="Aptos" w:hAnsi="Aptos" w:eastAsia="Aptos" w:cs="Aptos"/>
          <w:b w:val="0"/>
          <w:bCs w:val="0"/>
          <w:i w:val="0"/>
          <w:iCs w:val="0"/>
          <w:caps w:val="0"/>
          <w:smallCaps w:val="0"/>
          <w:noProof w:val="0"/>
          <w:color w:val="4C5A73"/>
          <w:sz w:val="24"/>
          <w:szCs w:val="24"/>
          <w:lang w:val="en-GB"/>
        </w:rPr>
        <w:t>I also found your discussion of A/B testing interesting as an example of how agencies might develop critical-thinking skills through repeated hypothesis testing and evaluation. However, I would question whether improved campaign effectiveness necessarily demonstrates good critical thinking. An agency may critically evaluate which message is most persuasive while failing to critically evaluate the ethical consequences of that message. Evidence that critical-thinking skills can be developed through instruction and practice (Abrami et al., 2015) therefore raises an important distinction between thinking critically about how to achieve a goal and critically evaluating whether that goal or method is justified.</w:t>
      </w:r>
      <w:r>
        <w:br/>
      </w:r>
      <w:r w:rsidRPr="41446685" w:rsidR="6F4DBAE2">
        <w:rPr>
          <w:rFonts w:ascii="Aptos" w:hAnsi="Aptos" w:eastAsia="Aptos" w:cs="Aptos"/>
          <w:b w:val="0"/>
          <w:bCs w:val="0"/>
          <w:i w:val="0"/>
          <w:iCs w:val="0"/>
          <w:caps w:val="0"/>
          <w:smallCaps w:val="0"/>
          <w:noProof w:val="0"/>
          <w:color w:val="4C5A73"/>
          <w:sz w:val="24"/>
          <w:szCs w:val="24"/>
          <w:lang w:val="en-GB"/>
        </w:rPr>
        <w:t>This leads me to wonder: should political advertising agencies be expected to apply critical thinking not only to the effectiveness of their campaigns, but also to the ethical consequences of deliberately exploiting voters’ psychological characteristics?</w:t>
      </w:r>
      <w:r>
        <w:br/>
      </w:r>
      <w:r w:rsidRPr="41446685" w:rsidR="6F4DBAE2">
        <w:rPr>
          <w:rFonts w:ascii="Aptos" w:hAnsi="Aptos" w:eastAsia="Aptos" w:cs="Aptos"/>
          <w:b w:val="0"/>
          <w:bCs w:val="0"/>
          <w:i w:val="0"/>
          <w:iCs w:val="0"/>
          <w:caps w:val="0"/>
          <w:smallCaps w:val="0"/>
          <w:noProof w:val="0"/>
          <w:color w:val="4C5A73"/>
          <w:sz w:val="24"/>
          <w:szCs w:val="24"/>
          <w:lang w:val="en-GB"/>
        </w:rPr>
        <w:t>References</w:t>
      </w:r>
      <w:r>
        <w:br/>
      </w:r>
      <w:r w:rsidRPr="41446685" w:rsidR="6F4DBAE2">
        <w:rPr>
          <w:rFonts w:ascii="Aptos" w:hAnsi="Aptos" w:eastAsia="Aptos" w:cs="Aptos"/>
          <w:b w:val="0"/>
          <w:bCs w:val="0"/>
          <w:i w:val="0"/>
          <w:iCs w:val="0"/>
          <w:caps w:val="0"/>
          <w:smallCaps w:val="0"/>
          <w:noProof w:val="0"/>
          <w:color w:val="4C5A73"/>
          <w:sz w:val="24"/>
          <w:szCs w:val="24"/>
          <w:lang w:val="en-GB"/>
        </w:rPr>
        <w:t>Abrami, P. C., Bernard, R. M., Borokhovski, E., Waddington, D. I., Wade, C. A., &amp; Persson, T. (2015). Strategies for teaching students to think critically: A meta-analysis. Review of Educational Research, 85(2), 275–314. https://doi.org/10.3102/0034654314551063</w:t>
      </w:r>
      <w:r>
        <w:br/>
      </w:r>
      <w:r w:rsidRPr="41446685" w:rsidR="6F4DBAE2">
        <w:rPr>
          <w:rFonts w:ascii="Aptos" w:hAnsi="Aptos" w:eastAsia="Aptos" w:cs="Aptos"/>
          <w:b w:val="0"/>
          <w:bCs w:val="0"/>
          <w:i w:val="0"/>
          <w:iCs w:val="0"/>
          <w:caps w:val="0"/>
          <w:smallCaps w:val="0"/>
          <w:noProof w:val="0"/>
          <w:color w:val="4C5A73"/>
          <w:sz w:val="24"/>
          <w:szCs w:val="24"/>
          <w:lang w:val="en-GB"/>
        </w:rPr>
        <w:t xml:space="preserve">Tappin, B. M., Wittenberg, C., Hewitt, L. B., Berinsky, A. J., &amp; Rand, D. G. (2023). Quantifying the potential persuasive returns to political microtargeting. Proceedings of the National Academy of Sciences, 120(25), e2216261120. </w:t>
      </w:r>
      <w:hyperlink r:id="R36ae4fd4677c4df5">
        <w:r w:rsidRPr="41446685" w:rsidR="6F4DBAE2">
          <w:rPr>
            <w:rStyle w:val="Hyperlink"/>
            <w:b w:val="0"/>
            <w:bCs w:val="0"/>
            <w:i w:val="0"/>
            <w:iCs w:val="0"/>
            <w:caps w:val="0"/>
            <w:smallCaps w:val="0"/>
            <w:noProof w:val="0"/>
            <w:lang w:val="en-GB"/>
          </w:rPr>
          <w:t>https://doi.org/10.1073/pnas.2216261120</w:t>
        </w:r>
      </w:hyperlink>
    </w:p>
    <w:p w:rsidR="41446685" w:rsidP="41446685" w:rsidRDefault="41446685" w14:paraId="359E2002" w14:textId="34C51A0E">
      <w:pPr>
        <w:pStyle w:val="Normal"/>
        <w:pBdr>
          <w:bottom w:val="single" w:color="000000" w:sz="6" w:space="1"/>
        </w:pBdr>
        <w:rPr>
          <w:rFonts w:ascii="Aptos" w:hAnsi="Aptos" w:eastAsia="Aptos" w:cs="Aptos"/>
          <w:b w:val="0"/>
          <w:bCs w:val="0"/>
          <w:i w:val="0"/>
          <w:iCs w:val="0"/>
          <w:caps w:val="0"/>
          <w:smallCaps w:val="0"/>
          <w:noProof w:val="0"/>
          <w:color w:val="4C5A73"/>
          <w:sz w:val="24"/>
          <w:szCs w:val="24"/>
          <w:lang w:val="en-GB"/>
        </w:rPr>
      </w:pPr>
    </w:p>
    <w:p w:rsidR="41446685" w:rsidP="41446685" w:rsidRDefault="41446685" w14:paraId="69923948" w14:textId="78052644">
      <w:pPr>
        <w:pStyle w:val="Normal"/>
        <w:rPr>
          <w:rFonts w:ascii="Aptos" w:hAnsi="Aptos" w:eastAsia="Aptos" w:cs="Aptos"/>
          <w:b w:val="0"/>
          <w:bCs w:val="0"/>
          <w:i w:val="0"/>
          <w:iCs w:val="0"/>
          <w:caps w:val="0"/>
          <w:smallCaps w:val="0"/>
          <w:noProof w:val="0"/>
          <w:color w:val="4C5A73"/>
          <w:sz w:val="24"/>
          <w:szCs w:val="24"/>
          <w:lang w:val="en-GB"/>
        </w:rPr>
      </w:pPr>
    </w:p>
    <w:p w:rsidR="41446685" w:rsidRDefault="41446685" w14:paraId="5EA3CE01" w14:textId="7EED4F75"/>
    <w:p w:rsidR="6F4DBAE2" w:rsidP="41446685" w:rsidRDefault="6F4DBAE2" w14:paraId="5A279DE8" w14:textId="3A901A59">
      <w:pPr>
        <w:pStyle w:val="Normal"/>
      </w:pPr>
      <w:r w:rsidRPr="41446685" w:rsidR="6F4DBAE2">
        <w:rPr>
          <w:rFonts w:ascii="Aptos" w:hAnsi="Aptos" w:eastAsia="Aptos" w:cs="Aptos"/>
          <w:b w:val="0"/>
          <w:bCs w:val="0"/>
          <w:i w:val="0"/>
          <w:iCs w:val="0"/>
          <w:caps w:val="0"/>
          <w:smallCaps w:val="0"/>
          <w:noProof w:val="0"/>
          <w:color w:val="4C5A73"/>
          <w:sz w:val="24"/>
          <w:szCs w:val="24"/>
          <w:lang w:val="en-GB"/>
        </w:rPr>
        <w:t>Peer Response 2</w:t>
      </w:r>
      <w:r>
        <w:br/>
      </w:r>
      <w:r w:rsidRPr="41446685" w:rsidR="6F4DBAE2">
        <w:rPr>
          <w:rFonts w:ascii="Aptos" w:hAnsi="Aptos" w:eastAsia="Aptos" w:cs="Aptos"/>
          <w:b w:val="0"/>
          <w:bCs w:val="0"/>
          <w:i w:val="0"/>
          <w:iCs w:val="0"/>
          <w:caps w:val="0"/>
          <w:smallCaps w:val="0"/>
          <w:noProof w:val="0"/>
          <w:color w:val="4C5A73"/>
          <w:sz w:val="24"/>
          <w:szCs w:val="24"/>
          <w:lang w:val="en-GB"/>
        </w:rPr>
        <w:t>Lucy, your post provides a balanced discussion of psychographic targeting by recognising that it can both conflict with and support Grice’s Cooperative Principle. I particularly agree with your observation that targeting can make a message more relevant and clear for a specific audience. This is an important distinction because psychographic targeting itself is not necessarily deceptive; the ethical and communicative concern depends on how the information is selected, framed and communicated.</w:t>
      </w:r>
      <w:r>
        <w:br/>
      </w:r>
      <w:r w:rsidRPr="41446685" w:rsidR="6F4DBAE2">
        <w:rPr>
          <w:rFonts w:ascii="Aptos" w:hAnsi="Aptos" w:eastAsia="Aptos" w:cs="Aptos"/>
          <w:b w:val="0"/>
          <w:bCs w:val="0"/>
          <w:i w:val="0"/>
          <w:iCs w:val="0"/>
          <w:caps w:val="0"/>
          <w:smallCaps w:val="0"/>
          <w:noProof w:val="0"/>
          <w:color w:val="4C5A73"/>
          <w:sz w:val="24"/>
          <w:szCs w:val="24"/>
          <w:lang w:val="en-GB"/>
        </w:rPr>
        <w:t>I would, however, question the statement that agencies are “most likely withholding important information to persuade voters.” Although selective presentation can conflict with Grice’s maxim of Quantity, withholding information is not necessarily evidence of manipulation. Political advertising is necessarily selective because campaigns cannot communicate every aspect of a complex political issue. The more important question may therefore be whether omitted information would materially change how the audience interprets the claim. This links closely to your discussion of critical thinking because agencies should evaluate not only whether their data are reliable, but also whether their interpretation of that data is justified.</w:t>
      </w:r>
      <w:r>
        <w:br/>
      </w:r>
      <w:r w:rsidRPr="41446685" w:rsidR="6F4DBAE2">
        <w:rPr>
          <w:rFonts w:ascii="Aptos" w:hAnsi="Aptos" w:eastAsia="Aptos" w:cs="Aptos"/>
          <w:b w:val="0"/>
          <w:bCs w:val="0"/>
          <w:i w:val="0"/>
          <w:iCs w:val="0"/>
          <w:caps w:val="0"/>
          <w:smallCaps w:val="0"/>
          <w:noProof w:val="0"/>
          <w:color w:val="4C5A73"/>
          <w:sz w:val="24"/>
          <w:szCs w:val="24"/>
          <w:lang w:val="en-GB"/>
        </w:rPr>
        <w:t>Your discussion of Halpern’s metacognitive monitoring is particularly relevant here. The process of reviewing campaign outcomes and questioning assumptions could help agencies identify weaknesses in their reasoning. However, Abrami et al. (2008) found that critical-thinking instruction produced positive effects, while also reporting substantial variation between studies. This suggests that simply training employees in critical-thinking techniques may not guarantee effective transfer to complex real-world situations.</w:t>
      </w:r>
      <w:r>
        <w:br/>
      </w:r>
      <w:r w:rsidRPr="41446685" w:rsidR="6F4DBAE2">
        <w:rPr>
          <w:rFonts w:ascii="Aptos" w:hAnsi="Aptos" w:eastAsia="Aptos" w:cs="Aptos"/>
          <w:b w:val="0"/>
          <w:bCs w:val="0"/>
          <w:i w:val="0"/>
          <w:iCs w:val="0"/>
          <w:caps w:val="0"/>
          <w:smallCaps w:val="0"/>
          <w:noProof w:val="0"/>
          <w:color w:val="4C5A73"/>
          <w:sz w:val="24"/>
          <w:szCs w:val="24"/>
          <w:lang w:val="en-GB"/>
        </w:rPr>
        <w:t>This raises an interesting tension between Grice and Halpern. An agency could use sophisticated critical-thinking skills to identify the most effective message while simultaneously designing communication that exploits psychological vulnerabilities. Therefore, should critical thinking within political advertising include an explicit requirement to evaluate the ethical and communicative consequences of a successful strategy, rather than simply whether it achieves the campaign’s desired outcome?</w:t>
      </w:r>
      <w:r>
        <w:br/>
      </w:r>
      <w:r w:rsidRPr="41446685" w:rsidR="6F4DBAE2">
        <w:rPr>
          <w:rFonts w:ascii="Aptos" w:hAnsi="Aptos" w:eastAsia="Aptos" w:cs="Aptos"/>
          <w:b w:val="0"/>
          <w:bCs w:val="0"/>
          <w:i w:val="0"/>
          <w:iCs w:val="0"/>
          <w:caps w:val="0"/>
          <w:smallCaps w:val="0"/>
          <w:noProof w:val="0"/>
          <w:color w:val="4C5A73"/>
          <w:sz w:val="24"/>
          <w:szCs w:val="24"/>
          <w:lang w:val="en-GB"/>
        </w:rPr>
        <w:t>Reference</w:t>
      </w:r>
      <w:r>
        <w:br/>
      </w:r>
      <w:r w:rsidRPr="41446685" w:rsidR="6F4DBAE2">
        <w:rPr>
          <w:rFonts w:ascii="Aptos" w:hAnsi="Aptos" w:eastAsia="Aptos" w:cs="Aptos"/>
          <w:b w:val="0"/>
          <w:bCs w:val="0"/>
          <w:i w:val="0"/>
          <w:iCs w:val="0"/>
          <w:caps w:val="0"/>
          <w:smallCaps w:val="0"/>
          <w:noProof w:val="0"/>
          <w:color w:val="4C5A73"/>
          <w:sz w:val="24"/>
          <w:szCs w:val="24"/>
          <w:lang w:val="en-GB"/>
        </w:rPr>
        <w:t xml:space="preserve">Abrami, P. C., Bernard, R. M., Borokhovski, E., Wade, A., Surkes, M. A., Tamim, R., &amp; Zhang, D. (2008). Instructional interventions affecting critical thinking skills and dispositions: A stage 1 meta-analysis. Review of Educational Research, 78(4), 1102–1134. </w:t>
      </w:r>
      <w:hyperlink r:id="R04535ad9cba44262">
        <w:r w:rsidRPr="41446685" w:rsidR="6F4DBAE2">
          <w:rPr>
            <w:rStyle w:val="Hyperlink"/>
            <w:b w:val="0"/>
            <w:bCs w:val="0"/>
            <w:i w:val="0"/>
            <w:iCs w:val="0"/>
            <w:caps w:val="0"/>
            <w:smallCaps w:val="0"/>
            <w:noProof w:val="0"/>
            <w:lang w:val="en-GB"/>
          </w:rPr>
          <w:t>https://doi.org/10.3102/0034654308326084</w:t>
        </w:r>
      </w:hyperlink>
    </w:p>
    <w:p w:rsidR="41446685" w:rsidP="41446685" w:rsidRDefault="41446685" w14:paraId="66E42818" w14:textId="4BA51381">
      <w:pPr>
        <w:pStyle w:val="Normal"/>
        <w:pBdr>
          <w:bottom w:val="single" w:color="000000" w:sz="6" w:space="1"/>
        </w:pBdr>
        <w:rPr>
          <w:rFonts w:ascii="Aptos" w:hAnsi="Aptos" w:eastAsia="Aptos" w:cs="Aptos"/>
          <w:b w:val="0"/>
          <w:bCs w:val="0"/>
          <w:i w:val="0"/>
          <w:iCs w:val="0"/>
          <w:caps w:val="0"/>
          <w:smallCaps w:val="0"/>
          <w:noProof w:val="0"/>
          <w:color w:val="4C5A73"/>
          <w:sz w:val="24"/>
          <w:szCs w:val="24"/>
          <w:lang w:val="en-GB"/>
        </w:rPr>
      </w:pPr>
    </w:p>
    <w:p w:rsidR="41446685" w:rsidRDefault="41446685" w14:paraId="095121DA" w14:textId="78064282"/>
    <w:p w:rsidR="6F4DBAE2" w:rsidP="41446685" w:rsidRDefault="6F4DBAE2" w14:paraId="3704A84A" w14:textId="68C0C49C">
      <w:pPr>
        <w:pStyle w:val="Normal"/>
        <w:rPr>
          <w:rFonts w:ascii="Aptos" w:hAnsi="Aptos" w:eastAsia="Aptos" w:cs="Aptos"/>
          <w:noProof w:val="0"/>
          <w:sz w:val="24"/>
          <w:szCs w:val="24"/>
          <w:lang w:val="en-GB"/>
        </w:rPr>
      </w:pPr>
      <w:r w:rsidRPr="41446685" w:rsidR="6F4DBAE2">
        <w:rPr>
          <w:rFonts w:ascii="Aptos" w:hAnsi="Aptos" w:eastAsia="Aptos" w:cs="Aptos"/>
          <w:b w:val="0"/>
          <w:bCs w:val="0"/>
          <w:i w:val="0"/>
          <w:iCs w:val="0"/>
          <w:caps w:val="0"/>
          <w:smallCaps w:val="0"/>
          <w:noProof w:val="0"/>
          <w:color w:val="4C5A73"/>
          <w:sz w:val="24"/>
          <w:szCs w:val="24"/>
          <w:lang w:val="en-GB"/>
        </w:rPr>
        <w:t>Informal Response.</w:t>
      </w:r>
      <w:r>
        <w:br/>
      </w:r>
      <w:r w:rsidRPr="41446685" w:rsidR="6F4DBAE2">
        <w:rPr>
          <w:rFonts w:ascii="Aptos" w:hAnsi="Aptos" w:eastAsia="Aptos" w:cs="Aptos"/>
          <w:b w:val="0"/>
          <w:bCs w:val="0"/>
          <w:i w:val="0"/>
          <w:iCs w:val="0"/>
          <w:caps w:val="0"/>
          <w:smallCaps w:val="0"/>
          <w:noProof w:val="0"/>
          <w:color w:val="4C5A73"/>
          <w:sz w:val="24"/>
          <w:szCs w:val="24"/>
          <w:lang w:val="en-GB"/>
        </w:rPr>
        <w:t>I think transparency in political targeting should be mandatory, particularly because voters may not realise that they are receiving different messages based on their psychological characteristics. I agree with your point that even if the information itself is factual and relevant, deliberately targeting someone’s vulnerabilities could still be ethically questionable.</w:t>
      </w:r>
      <w:r>
        <w:br/>
      </w:r>
      <w:r w:rsidRPr="41446685" w:rsidR="6F4DBAE2">
        <w:rPr>
          <w:rFonts w:ascii="Aptos" w:hAnsi="Aptos" w:eastAsia="Aptos" w:cs="Aptos"/>
          <w:b w:val="0"/>
          <w:bCs w:val="0"/>
          <w:i w:val="0"/>
          <w:iCs w:val="0"/>
          <w:caps w:val="0"/>
          <w:smallCaps w:val="0"/>
          <w:noProof w:val="0"/>
          <w:color w:val="4C5A73"/>
          <w:sz w:val="24"/>
          <w:szCs w:val="24"/>
          <w:lang w:val="en-GB"/>
        </w:rPr>
        <w:t>I also think there is a balance to be found here. Personalised communication can make political information more relevant and engaging, but voters should have some awareness of why they are being shown a particular message. This would give them a better opportunity to question the information and think critically about whether their emotions or personal characteristics are influencing their response.</w:t>
      </w:r>
      <w:r>
        <w:br/>
      </w:r>
      <w:r w:rsidRPr="41446685" w:rsidR="6F4DBAE2">
        <w:rPr>
          <w:rFonts w:ascii="Aptos" w:hAnsi="Aptos" w:eastAsia="Aptos" w:cs="Aptos"/>
          <w:b w:val="0"/>
          <w:bCs w:val="0"/>
          <w:i w:val="0"/>
          <w:iCs w:val="0"/>
          <w:caps w:val="0"/>
          <w:smallCaps w:val="0"/>
          <w:noProof w:val="0"/>
          <w:color w:val="4C5A73"/>
          <w:sz w:val="24"/>
          <w:szCs w:val="24"/>
          <w:lang w:val="en-GB"/>
        </w:rPr>
        <w:t>Your point about responsibility being shared between political agencies and voters is interesting too. I think transparency would support that shared responsibility because it would give voters more information with which to make informed decisions. So, in my view, targeting itself isn't necessarily the problem; it is the lack of transparency around how and why people are being targeted that creates the greater ethical concern.</w:t>
      </w:r>
    </w:p>
    <w:sectPr w:rsidR="009B26E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CBBEFF"/>
    <w:rsid w:val="002D10D5"/>
    <w:rsid w:val="009B26E7"/>
    <w:rsid w:val="0C7938F9"/>
    <w:rsid w:val="35505670"/>
    <w:rsid w:val="41446685"/>
    <w:rsid w:val="59CBBEFF"/>
    <w:rsid w:val="6A506BA4"/>
    <w:rsid w:val="6F4DBAE2"/>
    <w:rsid w:val="7A3140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38375"/>
  <w15:chartTrackingRefBased/>
  <w15:docId w15:val="{05089443-1274-426C-889B-1BA48892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144668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3102/0034654314551063" TargetMode="External" Id="R4227135249b44ea4" /><Relationship Type="http://schemas.openxmlformats.org/officeDocument/2006/relationships/hyperlink" Target="https://searchengineland.com/aimclears-psychographic-targeting-for-political-advertising-agencies-wins-237290" TargetMode="External" Id="R6cafab709ef34ad4" /><Relationship Type="http://schemas.openxmlformats.org/officeDocument/2006/relationships/hyperlink" Target="https://doi.org/10.3389/fcomm.2020.00067" TargetMode="External" Id="R0b25f77ad8ef4c3c" /><Relationship Type="http://schemas.openxmlformats.org/officeDocument/2006/relationships/hyperlink" Target="https://doi.org/10.1037/0003-066X.53.4.449" TargetMode="External" Id="R64c355d60e314d8d" /><Relationship Type="http://schemas.openxmlformats.org/officeDocument/2006/relationships/hyperlink" Target="https://doi.org/10.1016/j.chb.2023.108024" TargetMode="External" Id="R27e2f646110442de" /><Relationship Type="http://schemas.openxmlformats.org/officeDocument/2006/relationships/hyperlink" Target="https://doi.org/10.1073/pnas.2216261120" TargetMode="External" Id="R36ae4fd4677c4df5" /><Relationship Type="http://schemas.openxmlformats.org/officeDocument/2006/relationships/hyperlink" Target="https://doi.org/10.3102/0034654308326084" TargetMode="External" Id="R04535ad9cba442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2026-08-28T10:40:00.0000000Z</dcterms:created>
  <dcterms:modified xsi:type="dcterms:W3CDTF">2026-08-28T10:44:18.7555924Z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2026-08-28T10:40:14Z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660d96d5-a1d2-4c17-983f-2437c1714ae5</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