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0800" w:rsidP="7F61D12C" w:rsidRDefault="4A9EBD12" w14:paraId="5E5787A5" w14:textId="30092C49">
      <w:r>
        <w:br/>
      </w:r>
      <w:hyperlink r:id="R2a8e15670fb84489">
        <w:r w:rsidRPr="101033CD" w:rsidR="4A9EBD12">
          <w:rPr>
            <w:rStyle w:val="Hyperlink"/>
            <w:color w:val="CD202C"/>
          </w:rPr>
          <w:t>Zihua Sandra Phua</w:t>
        </w:r>
      </w:hyperlink>
    </w:p>
    <w:p w:rsidR="7F61D12C" w:rsidP="101033CD" w:rsidRDefault="7F61D12C" w14:paraId="5F96B110" w14:textId="28E088E6">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Political advertising agencies operate at an important intersection of persuasion, marketing, and psychology. The aimClear article demonstrates how psychographic messaging can be used to understand voters while strategically influencing them, creating tension with Grice's Cooperative Principle, which assumes that communicators work towards mutual understanding through the maxims of Quality, Quantity, Relation, and Manner (Grice, 1975). This tension is most evident in Quantity and Manner, as targeting can prioritise persuasive relevance over providing voters with sufficient and transparent information. For example, the recommendation to omit party or ideological labels means that information can be tailored to maximise affinity rather than provide the context needed for informed evaluation. Similarly, fragmented targeting can prevent voters from seeing the broader context of a campaign, making communication less transparent. Quality is less clearly compromised because the article does not describe outright falsehoods, although tactics such as “stalk targeting” and absentee-reminder advertisements suggest that emotional influence can take precedence over openness. Relation is therefore more ambiguous: the messages are relevant to individual voters, but this relevance serves strategic persuasion rather than the mutual understanding underlying Gricean cooperation.</w:t>
      </w:r>
    </w:p>
    <w:p w:rsidR="7F61D12C" w:rsidP="101033CD" w:rsidRDefault="7F61D12C" w14:paraId="0315D85E" w14:textId="4CE898B6">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Developing these campaigns requires sophisticated critical-thinking skills. Halpern's model identifies four components of effective instruction: explicitly learning the skills, developing a disposition towards effortful thinking, encouraging transfer across contexts, and making metacognitive monitoring explicit (Butler &amp; Halpern, 2011; Halpern, 1998). These are evident in psychographic campaigning: agencies evaluate data, determine credibility, identify patterns, and vary the amount and style of information by audience. They also transfer techniques from consumer marketing into politics, as the article observes: "It's no different than a marketing funnel any business would develop." The deliberate segmentation of voters and continual evaluation of campaign responses further demonstrate effortful reasoning and metacognitive monitoring.</w:t>
      </w:r>
    </w:p>
    <w:p w:rsidR="7F61D12C" w:rsidP="101033CD" w:rsidRDefault="7F61D12C" w14:paraId="11BF1837" w14:textId="1B630F3B">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There is substantial evidence these critical-thinking skills can be learned. Butler and Halpern (2011) argue explicit instruction and opportunities for transfer are particularly important, while meta-analytic evidence from Abrami et al. (2008, 2015) shows explicit critical-thinking instruction produces reliable improvements, particularly with dialogue and authentic problems. Agencies can reproduce these conditions through structured training, data analysis, feedback, and repeated evaluation of strategy. They not only possess critical-thinking skills but also continually refine them through practical application.</w:t>
      </w:r>
    </w:p>
    <w:p w:rsidR="7F61D12C" w:rsidP="101033CD" w:rsidRDefault="7F61D12C" w14:paraId="3595C83C" w14:textId="00A69D2B">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Gricean communication is therefore directly relevant to how agencies apply critical thinking. Agencies use sophisticated reasoning to identify voters' expectations of cooperative communication while simultaneously exploiting those expectations, determining not only what voters need to hear but what can be withheld to maximise persuasion. Ultimately, psychographic political advertising demonstrates that critical thinking is not inherently ethical: without cooperative communication as a guiding principle, sophisticated reasoning can be used to exploit the very assumptions that make communication possible.</w:t>
      </w:r>
    </w:p>
    <w:p w:rsidR="7F61D12C" w:rsidP="101033CD" w:rsidRDefault="7F61D12C" w14:paraId="322D0099" w14:textId="478E18C4">
      <w:pPr>
        <w:shd w:val="clear" w:color="auto" w:fill="FFFFFF" w:themeFill="background1"/>
        <w:spacing w:before="0" w:beforeAutospacing="off" w:after="240" w:afterAutospacing="off"/>
        <w:jc w:val="left"/>
      </w:pPr>
    </w:p>
    <w:p w:rsidR="7F61D12C" w:rsidP="101033CD" w:rsidRDefault="7F61D12C" w14:paraId="45F6BA8F" w14:textId="210C8418">
      <w:pPr>
        <w:shd w:val="clear" w:color="auto" w:fill="FFFFFF" w:themeFill="background1"/>
        <w:spacing w:before="0" w:beforeAutospacing="off" w:after="240" w:afterAutospacing="off"/>
        <w:jc w:val="left"/>
      </w:pPr>
      <w:r w:rsidRPr="101033CD" w:rsidR="4A9EBD12">
        <w:rPr>
          <w:rFonts w:ascii="Aptos" w:hAnsi="Aptos" w:eastAsia="Aptos" w:cs="Aptos"/>
          <w:b w:val="1"/>
          <w:bCs w:val="1"/>
          <w:i w:val="0"/>
          <w:iCs w:val="0"/>
          <w:caps w:val="0"/>
          <w:smallCaps w:val="0"/>
          <w:noProof w:val="0"/>
          <w:color w:val="4C5A73"/>
          <w:sz w:val="24"/>
          <w:szCs w:val="24"/>
          <w:lang w:val="en-GB"/>
        </w:rPr>
        <w:t>References</w:t>
      </w:r>
    </w:p>
    <w:p w:rsidR="7F61D12C" w:rsidP="101033CD" w:rsidRDefault="7F61D12C" w14:paraId="036327EC" w14:textId="33B99E87">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Abrami, P. C., Bernard, R. M., Borokhovski, E., Wade, A., Surkes, M. A., Tamim, R., &amp; Zhang, D. (2008). Instructional interventions affecting critical thinking skills and dispositions: A stage 1 meta-analysis. </w:t>
      </w:r>
      <w:r w:rsidRPr="101033CD" w:rsidR="4A9EBD12">
        <w:rPr>
          <w:rFonts w:ascii="Aptos" w:hAnsi="Aptos" w:eastAsia="Aptos" w:cs="Aptos"/>
          <w:b w:val="0"/>
          <w:bCs w:val="0"/>
          <w:i w:val="1"/>
          <w:iCs w:val="1"/>
          <w:caps w:val="0"/>
          <w:smallCaps w:val="0"/>
          <w:noProof w:val="0"/>
          <w:color w:val="4C5A73"/>
          <w:sz w:val="24"/>
          <w:szCs w:val="24"/>
          <w:lang w:val="en-GB"/>
        </w:rPr>
        <w:t>Review of Educational Research, 78</w:t>
      </w:r>
      <w:r w:rsidRPr="101033CD" w:rsidR="4A9EBD12">
        <w:rPr>
          <w:rFonts w:ascii="Aptos" w:hAnsi="Aptos" w:eastAsia="Aptos" w:cs="Aptos"/>
          <w:b w:val="0"/>
          <w:bCs w:val="0"/>
          <w:i w:val="0"/>
          <w:iCs w:val="0"/>
          <w:caps w:val="0"/>
          <w:smallCaps w:val="0"/>
          <w:noProof w:val="0"/>
          <w:color w:val="4C5A73"/>
          <w:sz w:val="24"/>
          <w:szCs w:val="24"/>
          <w:lang w:val="en-GB"/>
        </w:rPr>
        <w:t xml:space="preserve">(4), 1102–1134. </w:t>
      </w:r>
      <w:hyperlink r:id="Rb6bc300ac51245f7">
        <w:r w:rsidRPr="101033CD" w:rsidR="4A9EBD12">
          <w:rPr>
            <w:rStyle w:val="Hyperlink"/>
            <w:b w:val="1"/>
            <w:bCs w:val="1"/>
            <w:i w:val="0"/>
            <w:iCs w:val="0"/>
            <w:caps w:val="0"/>
            <w:smallCaps w:val="0"/>
            <w:strike w:val="0"/>
            <w:dstrike w:val="0"/>
            <w:noProof w:val="0"/>
            <w:color w:val="622567"/>
            <w:u w:val="single"/>
            <w:lang w:val="en-GB"/>
          </w:rPr>
          <w:t>https://doi.org/10.3102/0034654308326084</w:t>
        </w:r>
      </w:hyperlink>
    </w:p>
    <w:p w:rsidR="7F61D12C" w:rsidP="101033CD" w:rsidRDefault="7F61D12C" w14:paraId="081128C4" w14:textId="1E96E11B">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101033CD" w:rsidR="4A9EBD12">
        <w:rPr>
          <w:rFonts w:ascii="Aptos" w:hAnsi="Aptos" w:eastAsia="Aptos" w:cs="Aptos"/>
          <w:b w:val="0"/>
          <w:bCs w:val="0"/>
          <w:i w:val="1"/>
          <w:iCs w:val="1"/>
          <w:caps w:val="0"/>
          <w:smallCaps w:val="0"/>
          <w:noProof w:val="0"/>
          <w:color w:val="4C5A73"/>
          <w:sz w:val="24"/>
          <w:szCs w:val="24"/>
          <w:lang w:val="en-GB"/>
        </w:rPr>
        <w:t>Review of Educational Research, 85</w:t>
      </w:r>
      <w:r w:rsidRPr="101033CD" w:rsidR="4A9EBD12">
        <w:rPr>
          <w:rFonts w:ascii="Aptos" w:hAnsi="Aptos" w:eastAsia="Aptos" w:cs="Aptos"/>
          <w:b w:val="0"/>
          <w:bCs w:val="0"/>
          <w:i w:val="0"/>
          <w:iCs w:val="0"/>
          <w:caps w:val="0"/>
          <w:smallCaps w:val="0"/>
          <w:noProof w:val="0"/>
          <w:color w:val="4C5A73"/>
          <w:sz w:val="24"/>
          <w:szCs w:val="24"/>
          <w:lang w:val="en-GB"/>
        </w:rPr>
        <w:t xml:space="preserve">(2), 275–314. </w:t>
      </w:r>
      <w:hyperlink r:id="R0a0761dd846e471e">
        <w:r w:rsidRPr="101033CD" w:rsidR="4A9EBD12">
          <w:rPr>
            <w:rStyle w:val="Hyperlink"/>
            <w:b w:val="1"/>
            <w:bCs w:val="1"/>
            <w:i w:val="0"/>
            <w:iCs w:val="0"/>
            <w:caps w:val="0"/>
            <w:smallCaps w:val="0"/>
            <w:strike w:val="0"/>
            <w:dstrike w:val="0"/>
            <w:noProof w:val="0"/>
            <w:color w:val="622567"/>
            <w:u w:val="single"/>
            <w:lang w:val="en-GB"/>
          </w:rPr>
          <w:t>https://doi.org/10.3102/0034654314551063</w:t>
        </w:r>
      </w:hyperlink>
    </w:p>
    <w:p w:rsidR="7F61D12C" w:rsidP="101033CD" w:rsidRDefault="7F61D12C" w14:paraId="4D90C4D7" w14:textId="25F23225">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aimClear, S. C. (2015). aimClear's psychographic targeting for political advertising agencies' WINS. In </w:t>
      </w:r>
      <w:r w:rsidRPr="101033CD" w:rsidR="4A9EBD12">
        <w:rPr>
          <w:rFonts w:ascii="Aptos" w:hAnsi="Aptos" w:eastAsia="Aptos" w:cs="Aptos"/>
          <w:b w:val="0"/>
          <w:bCs w:val="0"/>
          <w:i w:val="1"/>
          <w:iCs w:val="1"/>
          <w:caps w:val="0"/>
          <w:smallCaps w:val="0"/>
          <w:noProof w:val="0"/>
          <w:color w:val="4C5A73"/>
          <w:sz w:val="24"/>
          <w:szCs w:val="24"/>
          <w:lang w:val="en-GB"/>
        </w:rPr>
        <w:t>Search Engine Land</w:t>
      </w:r>
      <w:r w:rsidRPr="101033CD" w:rsidR="4A9EBD12">
        <w:rPr>
          <w:rFonts w:ascii="Aptos" w:hAnsi="Aptos" w:eastAsia="Aptos" w:cs="Aptos"/>
          <w:b w:val="0"/>
          <w:bCs w:val="0"/>
          <w:i w:val="0"/>
          <w:iCs w:val="0"/>
          <w:caps w:val="0"/>
          <w:smallCaps w:val="0"/>
          <w:noProof w:val="0"/>
          <w:color w:val="4C5A73"/>
          <w:sz w:val="24"/>
          <w:szCs w:val="24"/>
          <w:lang w:val="en-GB"/>
        </w:rPr>
        <w:t xml:space="preserve">. </w:t>
      </w:r>
      <w:hyperlink r:id="R9b4ec14b5aad42cd">
        <w:r w:rsidRPr="101033CD" w:rsidR="4A9EBD12">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7F61D12C" w:rsidP="101033CD" w:rsidRDefault="7F61D12C" w14:paraId="0DAEA4B7" w14:textId="35EF1F7C">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Butler, H. A., &amp; Halpern, D. F. (2011). </w:t>
      </w:r>
      <w:r w:rsidRPr="101033CD" w:rsidR="4A9EBD12">
        <w:rPr>
          <w:rFonts w:ascii="Aptos" w:hAnsi="Aptos" w:eastAsia="Aptos" w:cs="Aptos"/>
          <w:b w:val="0"/>
          <w:bCs w:val="0"/>
          <w:i w:val="1"/>
          <w:iCs w:val="1"/>
          <w:caps w:val="0"/>
          <w:smallCaps w:val="0"/>
          <w:noProof w:val="0"/>
          <w:color w:val="4C5A73"/>
          <w:sz w:val="24"/>
          <w:szCs w:val="24"/>
          <w:lang w:val="en-GB"/>
        </w:rPr>
        <w:t>Critical thinking</w:t>
      </w:r>
      <w:r w:rsidRPr="101033CD" w:rsidR="4A9EBD12">
        <w:rPr>
          <w:rFonts w:ascii="Aptos" w:hAnsi="Aptos" w:eastAsia="Aptos" w:cs="Aptos"/>
          <w:b w:val="0"/>
          <w:bCs w:val="0"/>
          <w:i w:val="0"/>
          <w:iCs w:val="0"/>
          <w:caps w:val="0"/>
          <w:smallCaps w:val="0"/>
          <w:noProof w:val="0"/>
          <w:color w:val="4C5A73"/>
          <w:sz w:val="24"/>
          <w:szCs w:val="24"/>
          <w:lang w:val="en-GB"/>
        </w:rPr>
        <w:t>. Oxford Bibliographies Online. Oxford University Press.</w:t>
      </w:r>
    </w:p>
    <w:p w:rsidR="7F61D12C" w:rsidP="101033CD" w:rsidRDefault="7F61D12C" w14:paraId="01F1C398" w14:textId="29C91F9A">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Morgan (Eds.), </w:t>
      </w:r>
      <w:r w:rsidRPr="101033CD" w:rsidR="4A9EBD12">
        <w:rPr>
          <w:rFonts w:ascii="Aptos" w:hAnsi="Aptos" w:eastAsia="Aptos" w:cs="Aptos"/>
          <w:b w:val="0"/>
          <w:bCs w:val="0"/>
          <w:i w:val="1"/>
          <w:iCs w:val="1"/>
          <w:caps w:val="0"/>
          <w:smallCaps w:val="0"/>
          <w:noProof w:val="0"/>
          <w:color w:val="4C5A73"/>
          <w:sz w:val="24"/>
          <w:szCs w:val="24"/>
          <w:lang w:val="en-GB"/>
        </w:rPr>
        <w:t>Studies in syntax and semantics III: Speech acts</w:t>
      </w:r>
      <w:r w:rsidRPr="101033CD" w:rsidR="4A9EBD12">
        <w:rPr>
          <w:rFonts w:ascii="Aptos" w:hAnsi="Aptos" w:eastAsia="Aptos" w:cs="Aptos"/>
          <w:b w:val="0"/>
          <w:bCs w:val="0"/>
          <w:i w:val="0"/>
          <w:iCs w:val="0"/>
          <w:caps w:val="0"/>
          <w:smallCaps w:val="0"/>
          <w:noProof w:val="0"/>
          <w:color w:val="4C5A73"/>
          <w:sz w:val="24"/>
          <w:szCs w:val="24"/>
          <w:lang w:val="en-GB"/>
        </w:rPr>
        <w:t xml:space="preserve"> (pp. 183–198). Academic Press.</w:t>
      </w:r>
    </w:p>
    <w:p w:rsidR="7F61D12C" w:rsidP="101033CD" w:rsidRDefault="7F61D12C" w14:paraId="6EA62BA0" w14:textId="3180E5C0">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101033CD" w:rsidR="4A9EBD12">
        <w:rPr>
          <w:rFonts w:ascii="Aptos" w:hAnsi="Aptos" w:eastAsia="Aptos" w:cs="Aptos"/>
          <w:b w:val="0"/>
          <w:bCs w:val="0"/>
          <w:i w:val="1"/>
          <w:iCs w:val="1"/>
          <w:caps w:val="0"/>
          <w:smallCaps w:val="0"/>
          <w:noProof w:val="0"/>
          <w:color w:val="4C5A73"/>
          <w:sz w:val="24"/>
          <w:szCs w:val="24"/>
          <w:lang w:val="en-GB"/>
        </w:rPr>
        <w:t>American Psychologist, 53</w:t>
      </w:r>
      <w:r w:rsidRPr="101033CD" w:rsidR="4A9EBD12">
        <w:rPr>
          <w:rFonts w:ascii="Aptos" w:hAnsi="Aptos" w:eastAsia="Aptos" w:cs="Aptos"/>
          <w:b w:val="0"/>
          <w:bCs w:val="0"/>
          <w:i w:val="0"/>
          <w:iCs w:val="0"/>
          <w:caps w:val="0"/>
          <w:smallCaps w:val="0"/>
          <w:noProof w:val="0"/>
          <w:color w:val="4C5A73"/>
          <w:sz w:val="24"/>
          <w:szCs w:val="24"/>
          <w:lang w:val="en-GB"/>
        </w:rPr>
        <w:t>(4), 449–455.</w:t>
      </w:r>
    </w:p>
    <w:p w:rsidR="7F61D12C" w:rsidP="101033CD" w:rsidRDefault="7F61D12C" w14:paraId="570F75B6" w14:textId="56CE5E38">
      <w:pPr>
        <w:shd w:val="clear" w:color="auto" w:fill="FFFFFF" w:themeFill="background1"/>
        <w:spacing w:before="0" w:beforeAutospacing="off" w:after="240" w:afterAutospacing="off"/>
        <w:jc w:val="left"/>
      </w:pPr>
      <w:r w:rsidRPr="101033CD" w:rsidR="4A9EBD12">
        <w:rPr>
          <w:rFonts w:ascii="Aptos" w:hAnsi="Aptos" w:eastAsia="Aptos" w:cs="Aptos"/>
          <w:b w:val="0"/>
          <w:bCs w:val="0"/>
          <w:i w:val="0"/>
          <w:iCs w:val="0"/>
          <w:caps w:val="0"/>
          <w:smallCaps w:val="0"/>
          <w:noProof w:val="0"/>
          <w:color w:val="4C5A73"/>
          <w:sz w:val="24"/>
          <w:szCs w:val="24"/>
          <w:lang w:val="en-GB"/>
        </w:rPr>
        <w:t xml:space="preserve">Halpern, D. F., &amp; Dunn, D. S. (2023). </w:t>
      </w:r>
      <w:r w:rsidRPr="101033CD" w:rsidR="4A9EBD12">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101033CD" w:rsidR="4A9EBD12">
        <w:rPr>
          <w:rFonts w:ascii="Aptos" w:hAnsi="Aptos" w:eastAsia="Aptos" w:cs="Aptos"/>
          <w:b w:val="0"/>
          <w:bCs w:val="0"/>
          <w:i w:val="0"/>
          <w:iCs w:val="0"/>
          <w:caps w:val="0"/>
          <w:smallCaps w:val="0"/>
          <w:noProof w:val="0"/>
          <w:color w:val="4C5A73"/>
          <w:sz w:val="24"/>
          <w:szCs w:val="24"/>
          <w:lang w:val="en-GB"/>
        </w:rPr>
        <w:t xml:space="preserve"> (6th ed.). Routledge.</w:t>
      </w:r>
    </w:p>
    <w:p w:rsidR="7F61D12C" w:rsidP="101033CD" w:rsidRDefault="7F61D12C" w14:paraId="24B07429" w14:textId="794424A9">
      <w:pPr>
        <w:pStyle w:val="Normal"/>
      </w:pPr>
      <w:r w:rsidRPr="101033CD" w:rsidR="4A9EBD12">
        <w:rPr>
          <w:b w:val="0"/>
          <w:bCs w:val="0"/>
          <w:i w:val="0"/>
          <w:iCs w:val="0"/>
          <w:caps w:val="0"/>
          <w:smallCaps w:val="0"/>
          <w:strike w:val="0"/>
          <w:dstrike w:val="0"/>
          <w:noProof w:val="0"/>
          <w:color w:val="CD202C"/>
          <w:u w:val="single"/>
          <w:lang w:val="en-GB"/>
        </w:rPr>
        <w:t>--</w:t>
      </w:r>
    </w:p>
    <w:p w:rsidR="4A9EBD12" w:rsidP="101033CD" w:rsidRDefault="4A9EBD12" w14:paraId="42E557BD" w14:textId="65767A5F">
      <w:pPr>
        <w:pStyle w:val="Normal"/>
        <w:shd w:val="clear" w:color="auto" w:fill="FFFFFF" w:themeFill="background1"/>
        <w:spacing w:before="0" w:beforeAutospacing="off" w:after="240" w:afterAutospacing="off"/>
        <w:jc w:val="left"/>
      </w:pPr>
      <w:r w:rsidRPr="101033CD" w:rsidR="4A9EBD12">
        <w:rPr>
          <w:b w:val="0"/>
          <w:bCs w:val="0"/>
          <w:i w:val="0"/>
          <w:iCs w:val="0"/>
          <w:caps w:val="0"/>
          <w:smallCaps w:val="0"/>
          <w:strike w:val="0"/>
          <w:dstrike w:val="0"/>
          <w:noProof w:val="0"/>
          <w:color w:val="CD202C"/>
          <w:u w:val="single"/>
          <w:lang w:val="en-GB"/>
        </w:rPr>
        <w:t>PR1:</w:t>
      </w:r>
      <w:r>
        <w:br/>
      </w:r>
      <w:r>
        <w:br/>
      </w:r>
      <w:r w:rsidRPr="101033CD" w:rsidR="5C9B4BF9">
        <w:rPr>
          <w:rFonts w:ascii="Aptos" w:hAnsi="Aptos" w:eastAsia="Aptos" w:cs="Aptos"/>
          <w:b w:val="0"/>
          <w:bCs w:val="0"/>
          <w:i w:val="0"/>
          <w:iCs w:val="0"/>
          <w:caps w:val="0"/>
          <w:smallCaps w:val="0"/>
          <w:noProof w:val="0"/>
          <w:color w:val="4C5A73"/>
          <w:sz w:val="24"/>
          <w:szCs w:val="24"/>
          <w:lang w:val="en-GB"/>
        </w:rPr>
        <w:t xml:space="preserve">Hi Neeru, </w:t>
      </w:r>
    </w:p>
    <w:p w:rsidR="5C9B4BF9" w:rsidP="101033CD" w:rsidRDefault="5C9B4BF9" w14:paraId="16B82710" w14:textId="33FE959D">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This is a well-structured post, and I appreciate the cautious stance you take. Rather than arguing that psychographic targeting necessarily violates Grice’s (1975) maxims, you suggest that it creates opportunities for violation, a fairer position than claiming this form of marketing is inherently deceptive.</w:t>
      </w:r>
    </w:p>
    <w:p w:rsidR="5C9B4BF9" w:rsidP="101033CD" w:rsidRDefault="5C9B4BF9" w14:paraId="7CB0FB11" w14:textId="74A135B0">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One strength is your discussion of Relation. Targeting can support cooperative relevance by aligning messages with what an individual cares about, while still leaving the broader political picture concealed. This distinction separates local relevance (what matters to a particular voter) from global transparency (the campaign’s wider platform). Thus, the maxim can be technically observed while the broader spirit of cooperative disclosure is undermined.</w:t>
      </w:r>
    </w:p>
    <w:p w:rsidR="5C9B4BF9" w:rsidP="101033CD" w:rsidRDefault="5C9B4BF9" w14:paraId="00FC555C" w14:textId="472F5161">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I agree that critical thinking can be developed through targeted instruction; however, I would qualify the assumption that this development necessarily translates into more cooperative communication. As you note, Abrami et al. (2015) and Niu et al. (2013) found generally positive, though modest, effects of critical-thinking instruction. Nevertheless, this evidence concerns the acquisition of critical-thinking skills rather than how those skills are subsequently used. An agency could meet Halpern’s (1998) criteria for effective training (explicit instruction, metacognitive monitoring, and practice across contexts) while still directing these sharpened skills towards selectively persuasive rather than transparent messaging. Thus, although the evidence supports the trainability of critical thinking, it does not guarantee that trained agencies will apply these skills in a Gricean-cooperative manner. </w:t>
      </w:r>
    </w:p>
    <w:p w:rsidR="5C9B4BF9" w:rsidP="101033CD" w:rsidRDefault="5C9B4BF9" w14:paraId="7C5B9F56" w14:textId="00D94755">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Your argument effectively highlights that critical thinking does not necessarily lead to Gricean cooperation. This relationship, however, could be explored further. The post itself notes that agencies could critically assess evidence to establish which psychological traits are linked with a voter's responsiveness to particular messages—framing this as evidence of critical thinking being used </w:t>
      </w:r>
      <w:r w:rsidRPr="101033CD" w:rsidR="5C9B4BF9">
        <w:rPr>
          <w:rFonts w:ascii="Aptos" w:hAnsi="Aptos" w:eastAsia="Aptos" w:cs="Aptos"/>
          <w:b w:val="0"/>
          <w:bCs w:val="0"/>
          <w:i w:val="1"/>
          <w:iCs w:val="1"/>
          <w:caps w:val="0"/>
          <w:smallCaps w:val="0"/>
          <w:noProof w:val="0"/>
          <w:color w:val="4C5A73"/>
          <w:sz w:val="24"/>
          <w:szCs w:val="24"/>
          <w:lang w:val="en-GB"/>
        </w:rPr>
        <w:t>for</w:t>
      </w:r>
      <w:r w:rsidRPr="101033CD" w:rsidR="5C9B4BF9">
        <w:rPr>
          <w:rFonts w:ascii="Aptos" w:hAnsi="Aptos" w:eastAsia="Aptos" w:cs="Aptos"/>
          <w:b w:val="0"/>
          <w:bCs w:val="0"/>
          <w:i w:val="0"/>
          <w:iCs w:val="0"/>
          <w:caps w:val="0"/>
          <w:smallCaps w:val="0"/>
          <w:noProof w:val="0"/>
          <w:color w:val="4C5A73"/>
          <w:sz w:val="24"/>
          <w:szCs w:val="24"/>
          <w:lang w:val="en-GB"/>
        </w:rPr>
        <w:t xml:space="preserve"> selective messaging rather than transparent communication. This suggests the two are not merely unrelated, as the conclusion implies, but can be actively opposed: the same analytical rigour that improves an agency's understanding of voters can also be used to withhold or strategically reframe information.</w:t>
      </w:r>
    </w:p>
    <w:p w:rsidR="5C9B4BF9" w:rsidP="101033CD" w:rsidRDefault="5C9B4BF9" w14:paraId="7317919C" w14:textId="7ED9A021">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 </w:t>
      </w:r>
    </w:p>
    <w:p w:rsidR="5C9B4BF9" w:rsidP="101033CD" w:rsidRDefault="5C9B4BF9" w14:paraId="2E1AE310" w14:textId="118965B9">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References: </w:t>
      </w:r>
    </w:p>
    <w:p w:rsidR="5C9B4BF9" w:rsidP="101033CD" w:rsidRDefault="5C9B4BF9" w14:paraId="41B20B27" w14:textId="78D5E812">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101033CD" w:rsidR="5C9B4BF9">
        <w:rPr>
          <w:rFonts w:ascii="Aptos" w:hAnsi="Aptos" w:eastAsia="Aptos" w:cs="Aptos"/>
          <w:b w:val="0"/>
          <w:bCs w:val="0"/>
          <w:i w:val="1"/>
          <w:iCs w:val="1"/>
          <w:caps w:val="0"/>
          <w:smallCaps w:val="0"/>
          <w:noProof w:val="0"/>
          <w:color w:val="4C5A73"/>
          <w:sz w:val="24"/>
          <w:szCs w:val="24"/>
          <w:lang w:val="en-GB"/>
        </w:rPr>
        <w:t>Review of Educational Research, 85</w:t>
      </w:r>
      <w:r w:rsidRPr="101033CD" w:rsidR="5C9B4BF9">
        <w:rPr>
          <w:rFonts w:ascii="Aptos" w:hAnsi="Aptos" w:eastAsia="Aptos" w:cs="Aptos"/>
          <w:b w:val="0"/>
          <w:bCs w:val="0"/>
          <w:i w:val="0"/>
          <w:iCs w:val="0"/>
          <w:caps w:val="0"/>
          <w:smallCaps w:val="0"/>
          <w:noProof w:val="0"/>
          <w:color w:val="4C5A73"/>
          <w:sz w:val="24"/>
          <w:szCs w:val="24"/>
          <w:lang w:val="en-GB"/>
        </w:rPr>
        <w:t xml:space="preserve">(2), 275–314. </w:t>
      </w:r>
      <w:hyperlink r:id="Rdfd5917be20e4d05">
        <w:r w:rsidRPr="101033CD" w:rsidR="5C9B4BF9">
          <w:rPr>
            <w:rStyle w:val="Hyperlink"/>
            <w:b w:val="1"/>
            <w:bCs w:val="1"/>
            <w:i w:val="0"/>
            <w:iCs w:val="0"/>
            <w:caps w:val="0"/>
            <w:smallCaps w:val="0"/>
            <w:strike w:val="0"/>
            <w:dstrike w:val="0"/>
            <w:noProof w:val="0"/>
            <w:color w:val="622567"/>
            <w:u w:val="single"/>
            <w:lang w:val="en-GB"/>
          </w:rPr>
          <w:t>https://doi.org/10.3102/0034654314551063</w:t>
        </w:r>
      </w:hyperlink>
    </w:p>
    <w:p w:rsidR="5C9B4BF9" w:rsidP="101033CD" w:rsidRDefault="5C9B4BF9" w14:paraId="30BEB570" w14:textId="29F15E20">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Morgan (Eds.), </w:t>
      </w:r>
      <w:r w:rsidRPr="101033CD" w:rsidR="5C9B4BF9">
        <w:rPr>
          <w:rFonts w:ascii="Aptos" w:hAnsi="Aptos" w:eastAsia="Aptos" w:cs="Aptos"/>
          <w:b w:val="0"/>
          <w:bCs w:val="0"/>
          <w:i w:val="1"/>
          <w:iCs w:val="1"/>
          <w:caps w:val="0"/>
          <w:smallCaps w:val="0"/>
          <w:noProof w:val="0"/>
          <w:color w:val="4C5A73"/>
          <w:sz w:val="24"/>
          <w:szCs w:val="24"/>
          <w:lang w:val="en-GB"/>
        </w:rPr>
        <w:t>Studies in syntax and semantics III: Speech acts</w:t>
      </w:r>
      <w:r w:rsidRPr="101033CD" w:rsidR="5C9B4BF9">
        <w:rPr>
          <w:rFonts w:ascii="Aptos" w:hAnsi="Aptos" w:eastAsia="Aptos" w:cs="Aptos"/>
          <w:b w:val="0"/>
          <w:bCs w:val="0"/>
          <w:i w:val="0"/>
          <w:iCs w:val="0"/>
          <w:caps w:val="0"/>
          <w:smallCaps w:val="0"/>
          <w:noProof w:val="0"/>
          <w:color w:val="4C5A73"/>
          <w:sz w:val="24"/>
          <w:szCs w:val="24"/>
          <w:lang w:val="en-GB"/>
        </w:rPr>
        <w:t xml:space="preserve"> (pp. 183–198). Academic Press.</w:t>
      </w:r>
    </w:p>
    <w:p w:rsidR="5C9B4BF9" w:rsidP="101033CD" w:rsidRDefault="5C9B4BF9" w14:paraId="772DB1DF" w14:textId="2ADF798B">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101033CD" w:rsidR="5C9B4BF9">
        <w:rPr>
          <w:rFonts w:ascii="Aptos" w:hAnsi="Aptos" w:eastAsia="Aptos" w:cs="Aptos"/>
          <w:b w:val="0"/>
          <w:bCs w:val="0"/>
          <w:i w:val="1"/>
          <w:iCs w:val="1"/>
          <w:caps w:val="0"/>
          <w:smallCaps w:val="0"/>
          <w:noProof w:val="0"/>
          <w:color w:val="4C5A73"/>
          <w:sz w:val="24"/>
          <w:szCs w:val="24"/>
          <w:lang w:val="en-GB"/>
        </w:rPr>
        <w:t>American Psychologist, 53</w:t>
      </w:r>
      <w:r w:rsidRPr="101033CD" w:rsidR="5C9B4BF9">
        <w:rPr>
          <w:rFonts w:ascii="Aptos" w:hAnsi="Aptos" w:eastAsia="Aptos" w:cs="Aptos"/>
          <w:b w:val="0"/>
          <w:bCs w:val="0"/>
          <w:i w:val="0"/>
          <w:iCs w:val="0"/>
          <w:caps w:val="0"/>
          <w:smallCaps w:val="0"/>
          <w:noProof w:val="0"/>
          <w:color w:val="4C5A73"/>
          <w:sz w:val="24"/>
          <w:szCs w:val="24"/>
          <w:lang w:val="en-GB"/>
        </w:rPr>
        <w:t>(4), 449–455.</w:t>
      </w:r>
    </w:p>
    <w:p w:rsidR="5C9B4BF9" w:rsidP="101033CD" w:rsidRDefault="5C9B4BF9" w14:paraId="5DF8B278" w14:textId="65EB693F">
      <w:pPr>
        <w:shd w:val="clear" w:color="auto" w:fill="FFFFFF" w:themeFill="background1"/>
        <w:spacing w:before="0" w:beforeAutospacing="off" w:after="240" w:afterAutospacing="off"/>
        <w:jc w:val="left"/>
      </w:pPr>
      <w:r w:rsidRPr="101033CD" w:rsidR="5C9B4BF9">
        <w:rPr>
          <w:rFonts w:ascii="Aptos" w:hAnsi="Aptos" w:eastAsia="Aptos" w:cs="Aptos"/>
          <w:b w:val="0"/>
          <w:bCs w:val="0"/>
          <w:i w:val="0"/>
          <w:iCs w:val="0"/>
          <w:caps w:val="0"/>
          <w:smallCaps w:val="0"/>
          <w:noProof w:val="0"/>
          <w:color w:val="4C5A73"/>
          <w:sz w:val="24"/>
          <w:szCs w:val="24"/>
          <w:lang w:val="en-GB"/>
        </w:rPr>
        <w:t xml:space="preserve">Niu, L., Behar-Horenstein, L. S., &amp; Garvan, C. W. (2013). Do instructional interventions influence college students' critical thinking skills? A meta-analysis. </w:t>
      </w:r>
      <w:r w:rsidRPr="101033CD" w:rsidR="5C9B4BF9">
        <w:rPr>
          <w:rFonts w:ascii="Aptos" w:hAnsi="Aptos" w:eastAsia="Aptos" w:cs="Aptos"/>
          <w:b w:val="0"/>
          <w:bCs w:val="0"/>
          <w:i w:val="1"/>
          <w:iCs w:val="1"/>
          <w:caps w:val="0"/>
          <w:smallCaps w:val="0"/>
          <w:noProof w:val="0"/>
          <w:color w:val="4C5A73"/>
          <w:sz w:val="24"/>
          <w:szCs w:val="24"/>
          <w:lang w:val="en-GB"/>
        </w:rPr>
        <w:t>Educational Research Review, 9</w:t>
      </w:r>
      <w:r w:rsidRPr="101033CD" w:rsidR="5C9B4BF9">
        <w:rPr>
          <w:rFonts w:ascii="Aptos" w:hAnsi="Aptos" w:eastAsia="Aptos" w:cs="Aptos"/>
          <w:b w:val="0"/>
          <w:bCs w:val="0"/>
          <w:i w:val="0"/>
          <w:iCs w:val="0"/>
          <w:caps w:val="0"/>
          <w:smallCaps w:val="0"/>
          <w:noProof w:val="0"/>
          <w:color w:val="4C5A73"/>
          <w:sz w:val="24"/>
          <w:szCs w:val="24"/>
          <w:lang w:val="en-GB"/>
        </w:rPr>
        <w:t xml:space="preserve">, 114–128. </w:t>
      </w:r>
      <w:hyperlink r:id="R45facdc9870643f9">
        <w:r w:rsidRPr="101033CD" w:rsidR="5C9B4BF9">
          <w:rPr>
            <w:rStyle w:val="Hyperlink"/>
            <w:b w:val="1"/>
            <w:bCs w:val="1"/>
            <w:i w:val="0"/>
            <w:iCs w:val="0"/>
            <w:caps w:val="0"/>
            <w:smallCaps w:val="0"/>
            <w:strike w:val="0"/>
            <w:dstrike w:val="0"/>
            <w:noProof w:val="0"/>
            <w:color w:val="622567"/>
            <w:u w:val="single"/>
            <w:lang w:val="en-GB"/>
          </w:rPr>
          <w:t>https://doi.org/10.1016/j.edurev.2012.12.002</w:t>
        </w:r>
      </w:hyperlink>
    </w:p>
    <w:p w:rsidR="5C9B4BF9" w:rsidP="101033CD" w:rsidRDefault="5C9B4BF9" w14:paraId="312805C2" w14:textId="4F41813E">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101033CD" w:rsidR="5C9B4BF9">
        <w:rPr>
          <w:b w:val="0"/>
          <w:bCs w:val="0"/>
          <w:i w:val="0"/>
          <w:iCs w:val="0"/>
          <w:caps w:val="0"/>
          <w:smallCaps w:val="0"/>
          <w:strike w:val="0"/>
          <w:dstrike w:val="0"/>
          <w:noProof w:val="0"/>
          <w:color w:val="CD202C"/>
          <w:u w:val="single"/>
          <w:lang w:val="en-GB"/>
        </w:rPr>
        <w:t>--</w:t>
      </w:r>
      <w:r>
        <w:br/>
      </w:r>
      <w:r>
        <w:br/>
      </w:r>
      <w:r w:rsidRPr="101033CD" w:rsidR="0E602D8C">
        <w:rPr>
          <w:b w:val="0"/>
          <w:bCs w:val="0"/>
          <w:i w:val="0"/>
          <w:iCs w:val="0"/>
          <w:caps w:val="0"/>
          <w:smallCaps w:val="0"/>
          <w:strike w:val="0"/>
          <w:dstrike w:val="0"/>
          <w:noProof w:val="0"/>
          <w:color w:val="CD202C"/>
          <w:u w:val="single"/>
          <w:lang w:val="en-GB"/>
        </w:rPr>
        <w:t>PR2:</w:t>
      </w:r>
      <w:r>
        <w:br/>
      </w:r>
      <w:r>
        <w:br/>
      </w:r>
    </w:p>
    <w:p w:rsidR="59D5C7E0" w:rsidP="101033CD" w:rsidRDefault="59D5C7E0" w14:paraId="50299F32" w14:textId="705EC10A">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 xml:space="preserve">Hi Danilma, </w:t>
      </w:r>
    </w:p>
    <w:p w:rsidR="59D5C7E0" w:rsidP="101033CD" w:rsidRDefault="59D5C7E0" w14:paraId="05AC224D" w14:textId="63CB0913">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I agree with your argument that psychographic targeting often prioritises persuasion over transparent communication, and I found your breakdown of the four maxims particularly useful because you link each one to a distinct mechanism rather than treating “violation” as a single, general idea. For example, selectively presenting information to match emotional vulnerabilities may breach Quantity, while exaggerated or emotionally charged framing risks breaching Quality.</w:t>
      </w:r>
    </w:p>
    <w:p w:rsidR="59D5C7E0" w:rsidP="101033CD" w:rsidRDefault="59D5C7E0" w14:paraId="2401E856" w14:textId="3AF2D4AC">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I especially liked your point about Manner. The idea that voters may be unaware that a message was specifically crafted around their psychological profile is compelling because it captures something deeper than unclear wording within an advertisement. It is the invisibility of the targeting process itself that can undermine cooperative communication. This distinction between what is communicated and how the message was selected adds real depth to your analysis.</w:t>
      </w:r>
    </w:p>
    <w:p w:rsidR="59D5C7E0" w:rsidP="101033CD" w:rsidRDefault="59D5C7E0" w14:paraId="5DC6C219" w14:textId="3F5BAC45">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Your application of Halpern and Dunn’s (2023) discussion of transfer across contexts is also convincing. I particularly appreciated the concrete examples of A/B testing strengthening evaluative judgement and post-campaign analysis encouraging reflection. These examples move beyond simply stating that critical thinking is trainable and demonstrate how such training might realistically be applied within an agency.</w:t>
      </w:r>
    </w:p>
    <w:p w:rsidR="59D5C7E0" w:rsidP="101033CD" w:rsidRDefault="59D5C7E0" w14:paraId="7FA160CC" w14:textId="17D5889C">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One point I would gently push further, however, is your claim that psychographic messaging “often” violates Gricean norms. Political advertising may operate under somewhat different communicative expectations from ordinary conversation, as audiences may not expect the same level of transparency from an advertisement that they would from a conversational partner (Grice, 1975). Exploring this distinction could help clarify whether these practices constitute genuine violations or reflect expectations that audiences already associate with the genre.</w:t>
      </w:r>
    </w:p>
    <w:p w:rsidR="59D5C7E0" w:rsidP="101033CD" w:rsidRDefault="59D5C7E0" w14:paraId="3507EF5B" w14:textId="47C62323">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This connects well with your final point that Gricean principles can help agencies anticipate how audiences interpret messages. I think this is one of the strongest ideas in your post: critical thinking can be used to understand and manage interpretation, but it can also be used to exploit it, demonstrating that effective reasoning and ethical communication are not necessarily the same thing.</w:t>
      </w:r>
    </w:p>
    <w:p w:rsidR="59D5C7E0" w:rsidP="101033CD" w:rsidRDefault="59D5C7E0" w14:paraId="25324C7E" w14:textId="69B64912">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 xml:space="preserve"> </w:t>
      </w:r>
    </w:p>
    <w:p w:rsidR="59D5C7E0" w:rsidP="101033CD" w:rsidRDefault="59D5C7E0" w14:paraId="2727F6BB" w14:textId="50776CDF">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References:</w:t>
      </w:r>
    </w:p>
    <w:p w:rsidR="59D5C7E0" w:rsidP="101033CD" w:rsidRDefault="59D5C7E0" w14:paraId="081E0200" w14:textId="46E957B6">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Morgan (Eds.), </w:t>
      </w:r>
      <w:r w:rsidRPr="101033CD" w:rsidR="59D5C7E0">
        <w:rPr>
          <w:rFonts w:ascii="Aptos" w:hAnsi="Aptos" w:eastAsia="Aptos" w:cs="Aptos"/>
          <w:b w:val="0"/>
          <w:bCs w:val="0"/>
          <w:i w:val="1"/>
          <w:iCs w:val="1"/>
          <w:caps w:val="0"/>
          <w:smallCaps w:val="0"/>
          <w:noProof w:val="0"/>
          <w:color w:val="4C5A73"/>
          <w:sz w:val="24"/>
          <w:szCs w:val="24"/>
          <w:lang w:val="en-GB"/>
        </w:rPr>
        <w:t>Studies in syntax and semantics III: Speech acts</w:t>
      </w:r>
      <w:r w:rsidRPr="101033CD" w:rsidR="59D5C7E0">
        <w:rPr>
          <w:rFonts w:ascii="Aptos" w:hAnsi="Aptos" w:eastAsia="Aptos" w:cs="Aptos"/>
          <w:b w:val="0"/>
          <w:bCs w:val="0"/>
          <w:i w:val="0"/>
          <w:iCs w:val="0"/>
          <w:caps w:val="0"/>
          <w:smallCaps w:val="0"/>
          <w:noProof w:val="0"/>
          <w:color w:val="4C5A73"/>
          <w:sz w:val="24"/>
          <w:szCs w:val="24"/>
          <w:lang w:val="en-GB"/>
        </w:rPr>
        <w:t xml:space="preserve"> (pp. 183–198). Academic Press.</w:t>
      </w:r>
    </w:p>
    <w:p w:rsidR="59D5C7E0" w:rsidP="101033CD" w:rsidRDefault="59D5C7E0" w14:paraId="22B4C5B7" w14:textId="6542DE07">
      <w:pPr>
        <w:shd w:val="clear" w:color="auto" w:fill="FFFFFF" w:themeFill="background1"/>
        <w:spacing w:before="0" w:beforeAutospacing="off" w:after="240" w:afterAutospacing="off"/>
        <w:jc w:val="left"/>
      </w:pPr>
      <w:r w:rsidRPr="101033CD" w:rsidR="59D5C7E0">
        <w:rPr>
          <w:rFonts w:ascii="Aptos" w:hAnsi="Aptos" w:eastAsia="Aptos" w:cs="Aptos"/>
          <w:b w:val="0"/>
          <w:bCs w:val="0"/>
          <w:i w:val="0"/>
          <w:iCs w:val="0"/>
          <w:caps w:val="0"/>
          <w:smallCaps w:val="0"/>
          <w:noProof w:val="0"/>
          <w:color w:val="4C5A73"/>
          <w:sz w:val="24"/>
          <w:szCs w:val="24"/>
          <w:lang w:val="en-GB"/>
        </w:rPr>
        <w:t xml:space="preserve">Halpern, D. F., &amp; Dunn, D. S. (2023). </w:t>
      </w:r>
      <w:r w:rsidRPr="101033CD" w:rsidR="59D5C7E0">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101033CD" w:rsidR="59D5C7E0">
        <w:rPr>
          <w:rFonts w:ascii="Aptos" w:hAnsi="Aptos" w:eastAsia="Aptos" w:cs="Aptos"/>
          <w:b w:val="0"/>
          <w:bCs w:val="0"/>
          <w:i w:val="0"/>
          <w:iCs w:val="0"/>
          <w:caps w:val="0"/>
          <w:smallCaps w:val="0"/>
          <w:noProof w:val="0"/>
          <w:color w:val="4C5A73"/>
          <w:sz w:val="24"/>
          <w:szCs w:val="24"/>
          <w:lang w:val="en-GB"/>
        </w:rPr>
        <w:t>(6th ed.). Routledge.</w:t>
      </w:r>
    </w:p>
    <w:p w:rsidR="101033CD" w:rsidP="101033CD" w:rsidRDefault="101033CD" w14:paraId="39773543" w14:textId="37F3021C">
      <w:pPr>
        <w:pStyle w:val="Normal"/>
        <w:rPr>
          <w:b w:val="0"/>
          <w:bCs w:val="0"/>
          <w:i w:val="0"/>
          <w:iCs w:val="0"/>
          <w:caps w:val="0"/>
          <w:smallCaps w:val="0"/>
          <w:strike w:val="0"/>
          <w:dstrike w:val="0"/>
          <w:noProof w:val="0"/>
          <w:color w:val="CD202C"/>
          <w:u w:val="single"/>
          <w:lang w:val="en-GB"/>
        </w:rPr>
      </w:pPr>
      <w:r>
        <w:br/>
      </w:r>
      <w:r>
        <w:br/>
      </w:r>
      <w:r w:rsidRPr="101033CD" w:rsidR="46EE24C9">
        <w:rPr>
          <w:b w:val="0"/>
          <w:bCs w:val="0"/>
          <w:i w:val="0"/>
          <w:iCs w:val="0"/>
          <w:caps w:val="0"/>
          <w:smallCaps w:val="0"/>
          <w:strike w:val="0"/>
          <w:dstrike w:val="0"/>
          <w:noProof w:val="0"/>
          <w:color w:val="CD202C"/>
          <w:u w:val="single"/>
          <w:lang w:val="en-GB"/>
        </w:rPr>
        <w:t>Informal:</w:t>
      </w:r>
      <w:r>
        <w:br/>
      </w:r>
      <w:r>
        <w:br/>
      </w:r>
    </w:p>
    <w:p w:rsidR="12B87EDF" w:rsidP="101033CD" w:rsidRDefault="12B87EDF" w14:paraId="6E4FBEAB" w14:textId="25304924">
      <w:pPr>
        <w:pStyle w:val="Normal"/>
        <w:pBdr>
          <w:bottom w:val="single" w:color="000000" w:sz="6" w:space="1"/>
        </w:pBdr>
        <w:rPr>
          <w:b w:val="0"/>
          <w:bCs w:val="0"/>
          <w:i w:val="0"/>
          <w:iCs w:val="0"/>
          <w:caps w:val="0"/>
          <w:smallCaps w:val="0"/>
          <w:strike w:val="0"/>
          <w:dstrike w:val="0"/>
          <w:noProof w:val="0"/>
          <w:color w:val="CD202C"/>
          <w:u w:val="single"/>
          <w:lang w:val="en-GB"/>
        </w:rPr>
      </w:pPr>
      <w:r w:rsidRPr="101033CD" w:rsidR="12B87EDF">
        <w:rPr>
          <w:rFonts w:ascii="Aptos" w:hAnsi="Aptos" w:eastAsia="Aptos" w:cs="Aptos"/>
          <w:b w:val="0"/>
          <w:bCs w:val="0"/>
          <w:i w:val="0"/>
          <w:iCs w:val="0"/>
          <w:caps w:val="0"/>
          <w:smallCaps w:val="0"/>
          <w:noProof w:val="0"/>
          <w:color w:val="4C5A73"/>
          <w:sz w:val="24"/>
          <w:szCs w:val="24"/>
          <w:lang w:val="en-GB"/>
        </w:rPr>
        <w:t>Hi Rosheen, thanks for this! I agree that Grice’s maxims were designed for cooperative conversation rather than one-way persuasion, so using Grice as a transparency benchmark rather than a complete explanation makes sense. I would still argue that some expectation of Gricean honesty applies to advertising, given the backlash misleading ads can provoke. Your Barnett and Ceci point is also useful, as agencies may develop context-specific pattern recognition rather than transferable critical-thinking skills. For your closing question, I think transparency about persuasive intent is a more realistic standard than expecting full cooperation from political campaigns.</w:t>
      </w:r>
      <w:r>
        <w:br/>
      </w:r>
      <w:r>
        <w:br/>
      </w:r>
      <w:r>
        <w:br/>
      </w:r>
    </w:p>
    <w:sectPr w:rsidR="7F61D12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5D0F5A"/>
    <w:rsid w:val="00540800"/>
    <w:rsid w:val="00C55456"/>
    <w:rsid w:val="0E602D8C"/>
    <w:rsid w:val="101033CD"/>
    <w:rsid w:val="12B87EDF"/>
    <w:rsid w:val="225D0F5A"/>
    <w:rsid w:val="46EE24C9"/>
    <w:rsid w:val="4A9EBD12"/>
    <w:rsid w:val="59D5C7E0"/>
    <w:rsid w:val="5C9B4BF9"/>
    <w:rsid w:val="5F91746E"/>
    <w:rsid w:val="72FCC1DA"/>
    <w:rsid w:val="7F61D1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7BB5"/>
  <w15:chartTrackingRefBased/>
  <w15:docId w15:val="{E756B93F-09AD-4A5F-AB6F-C1757069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my-course.co.uk/user/view.php?id=26828&amp;course=15414" TargetMode="External" Id="R2a8e15670fb84489" /><Relationship Type="http://schemas.openxmlformats.org/officeDocument/2006/relationships/hyperlink" Target="https://doi.org/10.3102/0034654308326084" TargetMode="External" Id="Rb6bc300ac51245f7" /><Relationship Type="http://schemas.openxmlformats.org/officeDocument/2006/relationships/hyperlink" Target="https://doi.org/10.3102/0034654314551063" TargetMode="External" Id="R0a0761dd846e471e" /><Relationship Type="http://schemas.openxmlformats.org/officeDocument/2006/relationships/hyperlink" Target="https://searchengineland.com/aimclears-psychographic-targeting-for-political-advertising-agencies-wins-237290" TargetMode="External" Id="R9b4ec14b5aad42cd" /><Relationship Type="http://schemas.openxmlformats.org/officeDocument/2006/relationships/hyperlink" Target="https://doi.org/10.3102/0034654314551063" TargetMode="External" Id="Rdfd5917be20e4d05" /><Relationship Type="http://schemas.openxmlformats.org/officeDocument/2006/relationships/hyperlink" Target="https://doi.org/10.1016/j.edurev.2012.12.002" TargetMode="External" Id="R45facdc9870643f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2026-08-28T11:05:00.0000000Z</dcterms:created>
  <dcterms:modified xsi:type="dcterms:W3CDTF">2026-08-28T11:07:37.4601025Z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2026-08-28T11:05:17Z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09ee46cb-9b06-4538-88ad-0b2f43aa26ea</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