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6F46" w:rsidP="60A3C8A0" w:rsidRDefault="00606F46" w14:paraId="5E5787A5" w14:textId="1FE212D7">
      <w:pPr>
        <w:pStyle w:val="Normal"/>
        <w:rPr>
          <w:rFonts w:ascii="Aptos" w:hAnsi="Aptos" w:eastAsia="Aptos" w:cs="Aptos"/>
          <w:b w:val="0"/>
          <w:bCs w:val="0"/>
          <w:i w:val="0"/>
          <w:iCs w:val="0"/>
          <w:caps w:val="0"/>
          <w:smallCaps w:val="0"/>
          <w:noProof w:val="0"/>
          <w:color w:val="4C5A73"/>
          <w:sz w:val="24"/>
          <w:szCs w:val="24"/>
          <w:lang w:val="en-GB"/>
        </w:rPr>
      </w:pPr>
      <w:hyperlink r:id="R50178eaedd2d43cf">
        <w:r w:rsidRPr="60A3C8A0" w:rsidR="770F11ED">
          <w:rPr>
            <w:rStyle w:val="Hyperlink"/>
            <w:b w:val="0"/>
            <w:bCs w:val="0"/>
            <w:i w:val="0"/>
            <w:iCs w:val="0"/>
            <w:caps w:val="0"/>
            <w:smallCaps w:val="0"/>
            <w:strike w:val="0"/>
            <w:dstrike w:val="0"/>
            <w:noProof w:val="0"/>
            <w:color w:val="CD202C"/>
            <w:u w:val="single"/>
            <w:lang w:val="en-GB"/>
          </w:rPr>
          <w:t>Lucy Connolly</w:t>
        </w:r>
      </w:hyperlink>
    </w:p>
    <w:p w:rsidR="705A5F2D" w:rsidP="705A5F2D" w:rsidRDefault="705A5F2D" w14:paraId="3D0413F6" w14:textId="3DA2B734">
      <w:pPr>
        <w:pStyle w:val="Normal"/>
        <w:rPr>
          <w:rFonts w:ascii="Aptos" w:hAnsi="Aptos" w:eastAsia="Aptos" w:cs="Aptos"/>
          <w:b w:val="0"/>
          <w:bCs w:val="0"/>
          <w:i w:val="0"/>
          <w:iCs w:val="0"/>
          <w:caps w:val="0"/>
          <w:smallCaps w:val="0"/>
          <w:noProof w:val="0"/>
          <w:color w:val="4C5A73"/>
          <w:sz w:val="24"/>
          <w:szCs w:val="24"/>
          <w:lang w:val="en-GB"/>
        </w:rPr>
      </w:pPr>
    </w:p>
    <w:p w:rsidR="5A47BF1F" w:rsidP="705A5F2D" w:rsidRDefault="5A47BF1F" w14:paraId="5909C8B2" w14:textId="5AD8696D">
      <w:pPr>
        <w:pStyle w:val="Normal"/>
        <w:shd w:val="clear" w:color="auto" w:fill="FFFFFF" w:themeFill="background1"/>
        <w:spacing w:before="0" w:beforeAutospacing="off" w:after="240" w:afterAutospacing="off"/>
        <w:jc w:val="left"/>
      </w:pPr>
      <w:r w:rsidRPr="705A5F2D" w:rsidR="5A47BF1F">
        <w:rPr>
          <w:rFonts w:ascii="Aptos" w:hAnsi="Aptos" w:eastAsia="Aptos" w:cs="Aptos"/>
          <w:b w:val="0"/>
          <w:bCs w:val="0"/>
          <w:i w:val="0"/>
          <w:iCs w:val="0"/>
          <w:caps w:val="0"/>
          <w:smallCaps w:val="0"/>
          <w:noProof w:val="0"/>
          <w:color w:val="4C5A73"/>
          <w:sz w:val="24"/>
          <w:szCs w:val="24"/>
          <w:lang w:val="en-GB"/>
        </w:rPr>
        <w:t>Initial:</w:t>
      </w:r>
      <w:r>
        <w:br/>
      </w:r>
      <w:r>
        <w:br/>
      </w:r>
      <w:r w:rsidRPr="705A5F2D" w:rsidR="6DBA1F8C">
        <w:rPr>
          <w:rFonts w:ascii="Aptos" w:hAnsi="Aptos" w:eastAsia="Aptos" w:cs="Aptos"/>
          <w:b w:val="0"/>
          <w:bCs w:val="0"/>
          <w:i w:val="0"/>
          <w:iCs w:val="0"/>
          <w:caps w:val="0"/>
          <w:smallCaps w:val="0"/>
          <w:noProof w:val="0"/>
          <w:color w:val="4C5A73"/>
          <w:sz w:val="24"/>
          <w:szCs w:val="24"/>
          <w:lang w:val="en-GB"/>
        </w:rPr>
        <w:t xml:space="preserve">Psychographic targeting has changed the way in which political campaigns communicate with us. AimClear (2015), found that instead of door-knocking techniques, they can use platforms such as Facebook to target specific neighbourhoods and use different information to capture the interest of different people. By using Facebook, agencies can identify users with similar traits, interests, and behaviours and tailor messages for different groups. Creating different messages to target different groups is a useful and effective technique within political advertising; however, it raises questions about whether it aligns with Grice’s Cooperative Principle. </w:t>
      </w:r>
    </w:p>
    <w:p w:rsidR="6DBA1F8C" w:rsidP="705A5F2D" w:rsidRDefault="6DBA1F8C" w14:paraId="1221856E" w14:textId="6CCC08EA">
      <w:pPr>
        <w:shd w:val="clear" w:color="auto" w:fill="FFFFFF" w:themeFill="background1"/>
        <w:spacing w:before="0" w:beforeAutospacing="off" w:after="240" w:afterAutospacing="off"/>
        <w:jc w:val="left"/>
      </w:pPr>
      <w:r w:rsidRPr="705A5F2D" w:rsidR="6DBA1F8C">
        <w:rPr>
          <w:rFonts w:ascii="Aptos" w:hAnsi="Aptos" w:eastAsia="Aptos" w:cs="Aptos"/>
          <w:b w:val="0"/>
          <w:bCs w:val="0"/>
          <w:i w:val="0"/>
          <w:iCs w:val="0"/>
          <w:caps w:val="0"/>
          <w:smallCaps w:val="0"/>
          <w:noProof w:val="0"/>
          <w:color w:val="4C5A73"/>
          <w:sz w:val="24"/>
          <w:szCs w:val="24"/>
          <w:lang w:val="en-GB"/>
        </w:rPr>
        <w:t xml:space="preserve"> </w:t>
      </w:r>
    </w:p>
    <w:p w:rsidR="6DBA1F8C" w:rsidP="705A5F2D" w:rsidRDefault="6DBA1F8C" w14:paraId="514160CE" w14:textId="3570010B">
      <w:pPr>
        <w:shd w:val="clear" w:color="auto" w:fill="FFFFFF" w:themeFill="background1"/>
        <w:spacing w:before="0" w:beforeAutospacing="off" w:after="240" w:afterAutospacing="off"/>
        <w:jc w:val="left"/>
      </w:pPr>
      <w:r w:rsidRPr="705A5F2D" w:rsidR="6DBA1F8C">
        <w:rPr>
          <w:rFonts w:ascii="Aptos" w:hAnsi="Aptos" w:eastAsia="Aptos" w:cs="Aptos"/>
          <w:b w:val="0"/>
          <w:bCs w:val="0"/>
          <w:i w:val="0"/>
          <w:iCs w:val="0"/>
          <w:caps w:val="0"/>
          <w:smallCaps w:val="0"/>
          <w:noProof w:val="0"/>
          <w:color w:val="4C5A73"/>
          <w:sz w:val="24"/>
          <w:szCs w:val="24"/>
          <w:lang w:val="en-GB"/>
        </w:rPr>
        <w:t xml:space="preserve">The Gricean Cooperative Principle involves four maxims: maxim of quantity, maxim of quality, maxim of relation, and maxim of manner (Cole &amp; Morgan, 1975). Quantity requires advertisers to provide adequate information; a campaign could counteract this by not providing the audience with enough information. Similarly, the maxim of quality refers to advertisements avoiding misleading or exaggerated information. The maxim of relation requires information to be relevant; however, psychographic advertising may compromise this by advertising emotional content tailored to an individual’s interests or fears rather than the discussion of a political issue. Campaigns can also be quite vague at times, which goes against the maxim of manner, which is to be clear.  Furthermore, clear aims target individuals based on their interests, behaviours and traits; this could also be argued to support the Gricean cooperative communication as it makes the message tailored, clear and relevant for the individual listeners. </w:t>
      </w:r>
    </w:p>
    <w:p w:rsidR="6DBA1F8C" w:rsidP="705A5F2D" w:rsidRDefault="6DBA1F8C" w14:paraId="32D8A4D8" w14:textId="28235C90">
      <w:pPr>
        <w:shd w:val="clear" w:color="auto" w:fill="FFFFFF" w:themeFill="background1"/>
        <w:spacing w:before="0" w:beforeAutospacing="off" w:after="240" w:afterAutospacing="off"/>
        <w:jc w:val="left"/>
      </w:pPr>
      <w:r w:rsidRPr="705A5F2D" w:rsidR="6DBA1F8C">
        <w:rPr>
          <w:rFonts w:ascii="Aptos" w:hAnsi="Aptos" w:eastAsia="Aptos" w:cs="Aptos"/>
          <w:b w:val="0"/>
          <w:bCs w:val="0"/>
          <w:i w:val="0"/>
          <w:iCs w:val="0"/>
          <w:caps w:val="0"/>
          <w:smallCaps w:val="0"/>
          <w:noProof w:val="0"/>
          <w:color w:val="4C5A73"/>
          <w:sz w:val="24"/>
          <w:szCs w:val="24"/>
          <w:lang w:val="en-GB"/>
        </w:rPr>
        <w:t xml:space="preserve"> </w:t>
      </w:r>
    </w:p>
    <w:p w:rsidR="6DBA1F8C" w:rsidP="705A5F2D" w:rsidRDefault="6DBA1F8C" w14:paraId="14C45B4E" w14:textId="17992842">
      <w:pPr>
        <w:shd w:val="clear" w:color="auto" w:fill="FFFFFF" w:themeFill="background1"/>
        <w:spacing w:before="0" w:beforeAutospacing="off" w:after="240" w:afterAutospacing="off"/>
        <w:jc w:val="left"/>
      </w:pPr>
      <w:r w:rsidRPr="705A5F2D" w:rsidR="6DBA1F8C">
        <w:rPr>
          <w:rFonts w:ascii="Aptos" w:hAnsi="Aptos" w:eastAsia="Aptos" w:cs="Aptos"/>
          <w:b w:val="0"/>
          <w:bCs w:val="0"/>
          <w:i w:val="0"/>
          <w:iCs w:val="0"/>
          <w:caps w:val="0"/>
          <w:smallCaps w:val="0"/>
          <w:noProof w:val="0"/>
          <w:color w:val="4C5A73"/>
          <w:sz w:val="24"/>
          <w:szCs w:val="24"/>
          <w:lang w:val="en-GB"/>
        </w:rPr>
        <w:t xml:space="preserve">Critical thinking refers to cognitive skills or strategies that increase the probability of a desirable outcome (Halpern, 1998). Halpern’s four-part model aims to enhance critical thinking; it consists of a dispositional/attitudinal component, instruction in and practice with critical thinking skills, structured training activities, and a metacognition component (Halpern, 1998). Agencies can examine voter data and psychographic profiles and assess whether the data is reliable. From here, they can make assumptions and predict how the audience will respond to messages and decide which messaging strategy will benefit them most. Halpern (1998) also uses an interesting technique called metacognitive monitoring, which is essentially checking accuracy and monitoring progression towards a goal. Agencies can use metacognitive monitoring to review their campaigns. A meta-analysis review on 3,720 studies found that instructions positively impacted students’ critical thinking; this study argues that critical thinking is not automatic and is taught rather than developed (Abrami et al., 2008). Therefore, political advertising could train employees to evaluate evidence, question assumptions, and monitor reasoning. </w:t>
      </w:r>
    </w:p>
    <w:p w:rsidR="6DBA1F8C" w:rsidP="705A5F2D" w:rsidRDefault="6DBA1F8C" w14:paraId="51333CC5" w14:textId="2AC3EE8C">
      <w:pPr>
        <w:shd w:val="clear" w:color="auto" w:fill="FFFFFF" w:themeFill="background1"/>
        <w:spacing w:before="0" w:beforeAutospacing="off" w:after="240" w:afterAutospacing="off"/>
        <w:jc w:val="left"/>
      </w:pPr>
      <w:r w:rsidRPr="705A5F2D" w:rsidR="6DBA1F8C">
        <w:rPr>
          <w:rFonts w:ascii="Aptos" w:hAnsi="Aptos" w:eastAsia="Aptos" w:cs="Aptos"/>
          <w:b w:val="0"/>
          <w:bCs w:val="0"/>
          <w:i w:val="0"/>
          <w:iCs w:val="0"/>
          <w:caps w:val="0"/>
          <w:smallCaps w:val="0"/>
          <w:noProof w:val="0"/>
          <w:color w:val="4C5A73"/>
          <w:sz w:val="24"/>
          <w:szCs w:val="24"/>
          <w:lang w:val="en-GB"/>
        </w:rPr>
        <w:t xml:space="preserve"> </w:t>
      </w:r>
    </w:p>
    <w:p w:rsidR="6DBA1F8C" w:rsidP="705A5F2D" w:rsidRDefault="6DBA1F8C" w14:paraId="41566CAE" w14:textId="413A8CBA">
      <w:pPr>
        <w:shd w:val="clear" w:color="auto" w:fill="FFFFFF" w:themeFill="background1"/>
        <w:spacing w:before="0" w:beforeAutospacing="off" w:after="240" w:afterAutospacing="off"/>
        <w:jc w:val="left"/>
      </w:pPr>
      <w:r w:rsidRPr="705A5F2D" w:rsidR="6DBA1F8C">
        <w:rPr>
          <w:rFonts w:ascii="Aptos" w:hAnsi="Aptos" w:eastAsia="Aptos" w:cs="Aptos"/>
          <w:b w:val="0"/>
          <w:bCs w:val="0"/>
          <w:i w:val="0"/>
          <w:iCs w:val="0"/>
          <w:caps w:val="0"/>
          <w:smallCaps w:val="0"/>
          <w:noProof w:val="0"/>
          <w:color w:val="4C5A73"/>
          <w:sz w:val="24"/>
          <w:szCs w:val="24"/>
          <w:lang w:val="en-GB"/>
        </w:rPr>
        <w:t xml:space="preserve">Psychographic political advertising can both support and conflict with Grice’s Cooperative Principle; for example, tailored messages to targeted audiences may be relevant and clear; however, agencies are most likely withholding important information to persuade voters. Furthermore, Halpern’s model of critical thinking provides agencies with the techniques to evaluate data, identify assumptions, and encourage questioning of evidence. Evidence suggests that critical thinking techniques can be taught and therefore incorporated into practice within political agencies. Overall, although critical thinking can help agencies evaluate and improve their communication, there is no guarantee that their campaign will be able to follow Grice’s Cooperative Principle, as most agencies’ goals are to persuade the audience. </w:t>
      </w:r>
    </w:p>
    <w:p w:rsidR="6DBA1F8C" w:rsidP="705A5F2D" w:rsidRDefault="6DBA1F8C" w14:paraId="1E7EA1BE" w14:textId="0A45CE73">
      <w:pPr>
        <w:shd w:val="clear" w:color="auto" w:fill="FFFFFF" w:themeFill="background1"/>
        <w:spacing w:before="0" w:beforeAutospacing="off" w:after="240" w:afterAutospacing="off"/>
        <w:jc w:val="left"/>
      </w:pPr>
      <w:r w:rsidRPr="705A5F2D" w:rsidR="6DBA1F8C">
        <w:rPr>
          <w:rFonts w:ascii="Aptos" w:hAnsi="Aptos" w:eastAsia="Aptos" w:cs="Aptos"/>
          <w:b w:val="0"/>
          <w:bCs w:val="0"/>
          <w:i w:val="0"/>
          <w:iCs w:val="0"/>
          <w:caps w:val="0"/>
          <w:smallCaps w:val="0"/>
          <w:noProof w:val="0"/>
          <w:color w:val="4C5A73"/>
          <w:sz w:val="24"/>
          <w:szCs w:val="24"/>
          <w:lang w:val="en-GB"/>
        </w:rPr>
        <w:t xml:space="preserve"> </w:t>
      </w:r>
    </w:p>
    <w:p w:rsidR="6DBA1F8C" w:rsidP="705A5F2D" w:rsidRDefault="6DBA1F8C" w14:paraId="77CB192C" w14:textId="0D60D00B">
      <w:pPr>
        <w:shd w:val="clear" w:color="auto" w:fill="FFFFFF" w:themeFill="background1"/>
        <w:spacing w:before="0" w:beforeAutospacing="off" w:after="240" w:afterAutospacing="off"/>
        <w:jc w:val="center"/>
      </w:pPr>
      <w:r w:rsidRPr="705A5F2D" w:rsidR="6DBA1F8C">
        <w:rPr>
          <w:rFonts w:ascii="Aptos" w:hAnsi="Aptos" w:eastAsia="Aptos" w:cs="Aptos"/>
          <w:b w:val="1"/>
          <w:bCs w:val="1"/>
          <w:i w:val="0"/>
          <w:iCs w:val="0"/>
          <w:caps w:val="0"/>
          <w:smallCaps w:val="0"/>
          <w:noProof w:val="0"/>
          <w:color w:val="4C5A73"/>
          <w:sz w:val="24"/>
          <w:szCs w:val="24"/>
          <w:lang w:val="en-GB"/>
        </w:rPr>
        <w:t>References</w:t>
      </w:r>
    </w:p>
    <w:p w:rsidR="6DBA1F8C" w:rsidP="705A5F2D" w:rsidRDefault="6DBA1F8C" w14:paraId="738A35F9" w14:textId="44EFE93F">
      <w:pPr>
        <w:shd w:val="clear" w:color="auto" w:fill="FFFFFF" w:themeFill="background1"/>
        <w:spacing w:before="0" w:beforeAutospacing="off" w:after="240" w:afterAutospacing="off"/>
        <w:jc w:val="left"/>
      </w:pPr>
      <w:r w:rsidRPr="705A5F2D" w:rsidR="6DBA1F8C">
        <w:rPr>
          <w:rFonts w:ascii="Aptos" w:hAnsi="Aptos" w:eastAsia="Aptos" w:cs="Aptos"/>
          <w:b w:val="0"/>
          <w:bCs w:val="0"/>
          <w:i w:val="0"/>
          <w:iCs w:val="0"/>
          <w:caps w:val="0"/>
          <w:smallCaps w:val="0"/>
          <w:noProof w:val="0"/>
          <w:color w:val="4C5A73"/>
          <w:sz w:val="24"/>
          <w:szCs w:val="24"/>
          <w:lang w:val="en-GB"/>
        </w:rPr>
        <w:t xml:space="preserve">Abrami, P. C., Bernard, R. M., Borokhovski, E., Wade, A., Surkes, M. A., Tamim, R., &amp; Zhang, D. (2008). Instructional Interventions Affecting Critical Thinking Skills and Dispositions: A Stage 1 Meta-Analysis. </w:t>
      </w:r>
      <w:r w:rsidRPr="705A5F2D" w:rsidR="6DBA1F8C">
        <w:rPr>
          <w:rFonts w:ascii="Aptos" w:hAnsi="Aptos" w:eastAsia="Aptos" w:cs="Aptos"/>
          <w:b w:val="0"/>
          <w:bCs w:val="0"/>
          <w:i w:val="1"/>
          <w:iCs w:val="1"/>
          <w:caps w:val="0"/>
          <w:smallCaps w:val="0"/>
          <w:noProof w:val="0"/>
          <w:color w:val="4C5A73"/>
          <w:sz w:val="24"/>
          <w:szCs w:val="24"/>
          <w:lang w:val="en-GB"/>
        </w:rPr>
        <w:t>Review of Educational Research</w:t>
      </w:r>
      <w:r w:rsidRPr="705A5F2D" w:rsidR="6DBA1F8C">
        <w:rPr>
          <w:rFonts w:ascii="Aptos" w:hAnsi="Aptos" w:eastAsia="Aptos" w:cs="Aptos"/>
          <w:b w:val="0"/>
          <w:bCs w:val="0"/>
          <w:i w:val="0"/>
          <w:iCs w:val="0"/>
          <w:caps w:val="0"/>
          <w:smallCaps w:val="0"/>
          <w:noProof w:val="0"/>
          <w:color w:val="4C5A73"/>
          <w:sz w:val="24"/>
          <w:szCs w:val="24"/>
          <w:lang w:val="en-GB"/>
        </w:rPr>
        <w:t xml:space="preserve">, </w:t>
      </w:r>
      <w:r w:rsidRPr="705A5F2D" w:rsidR="6DBA1F8C">
        <w:rPr>
          <w:rFonts w:ascii="Aptos" w:hAnsi="Aptos" w:eastAsia="Aptos" w:cs="Aptos"/>
          <w:b w:val="0"/>
          <w:bCs w:val="0"/>
          <w:i w:val="1"/>
          <w:iCs w:val="1"/>
          <w:caps w:val="0"/>
          <w:smallCaps w:val="0"/>
          <w:noProof w:val="0"/>
          <w:color w:val="4C5A73"/>
          <w:sz w:val="24"/>
          <w:szCs w:val="24"/>
          <w:lang w:val="en-GB"/>
        </w:rPr>
        <w:t>78</w:t>
      </w:r>
      <w:r w:rsidRPr="705A5F2D" w:rsidR="6DBA1F8C">
        <w:rPr>
          <w:rFonts w:ascii="Aptos" w:hAnsi="Aptos" w:eastAsia="Aptos" w:cs="Aptos"/>
          <w:b w:val="0"/>
          <w:bCs w:val="0"/>
          <w:i w:val="0"/>
          <w:iCs w:val="0"/>
          <w:caps w:val="0"/>
          <w:smallCaps w:val="0"/>
          <w:noProof w:val="0"/>
          <w:color w:val="4C5A73"/>
          <w:sz w:val="24"/>
          <w:szCs w:val="24"/>
          <w:lang w:val="en-GB"/>
        </w:rPr>
        <w:t xml:space="preserve">(4), 1102–1134. </w:t>
      </w:r>
      <w:hyperlink r:id="R9ff766fa83f34617">
        <w:r w:rsidRPr="705A5F2D" w:rsidR="6DBA1F8C">
          <w:rPr>
            <w:rStyle w:val="Hyperlink"/>
            <w:b w:val="0"/>
            <w:bCs w:val="0"/>
            <w:i w:val="0"/>
            <w:iCs w:val="0"/>
            <w:caps w:val="0"/>
            <w:smallCaps w:val="0"/>
            <w:noProof w:val="0"/>
            <w:lang w:val="en-GB"/>
          </w:rPr>
          <w:t>https://doi.org/10.3102/0034654308326084</w:t>
        </w:r>
      </w:hyperlink>
    </w:p>
    <w:p w:rsidR="6DBA1F8C" w:rsidP="705A5F2D" w:rsidRDefault="6DBA1F8C" w14:paraId="0328BD43" w14:textId="55E7FC72">
      <w:pPr>
        <w:shd w:val="clear" w:color="auto" w:fill="FFFFFF" w:themeFill="background1"/>
        <w:spacing w:before="0" w:beforeAutospacing="off" w:after="240" w:afterAutospacing="off"/>
        <w:jc w:val="left"/>
      </w:pPr>
      <w:r w:rsidRPr="705A5F2D" w:rsidR="6DBA1F8C">
        <w:rPr>
          <w:rFonts w:ascii="Aptos" w:hAnsi="Aptos" w:eastAsia="Aptos" w:cs="Aptos"/>
          <w:b w:val="0"/>
          <w:bCs w:val="0"/>
          <w:i w:val="0"/>
          <w:iCs w:val="0"/>
          <w:caps w:val="0"/>
          <w:smallCaps w:val="0"/>
          <w:noProof w:val="0"/>
          <w:color w:val="4C5A73"/>
          <w:sz w:val="24"/>
          <w:szCs w:val="24"/>
          <w:lang w:val="en-GB"/>
        </w:rPr>
        <w:t xml:space="preserve">aimClear. (2015, December 3). </w:t>
      </w:r>
      <w:r w:rsidRPr="705A5F2D" w:rsidR="6DBA1F8C">
        <w:rPr>
          <w:rFonts w:ascii="Aptos" w:hAnsi="Aptos" w:eastAsia="Aptos" w:cs="Aptos"/>
          <w:b w:val="0"/>
          <w:bCs w:val="0"/>
          <w:i w:val="1"/>
          <w:iCs w:val="1"/>
          <w:caps w:val="0"/>
          <w:smallCaps w:val="0"/>
          <w:noProof w:val="0"/>
          <w:color w:val="4C5A73"/>
          <w:sz w:val="24"/>
          <w:szCs w:val="24"/>
          <w:lang w:val="en-GB"/>
        </w:rPr>
        <w:t>aimClear’s psychographic targeting for political advertising agencies’ WINS</w:t>
      </w:r>
      <w:r w:rsidRPr="705A5F2D" w:rsidR="6DBA1F8C">
        <w:rPr>
          <w:rFonts w:ascii="Aptos" w:hAnsi="Aptos" w:eastAsia="Aptos" w:cs="Aptos"/>
          <w:b w:val="0"/>
          <w:bCs w:val="0"/>
          <w:i w:val="0"/>
          <w:iCs w:val="0"/>
          <w:caps w:val="0"/>
          <w:smallCaps w:val="0"/>
          <w:noProof w:val="0"/>
          <w:color w:val="4C5A73"/>
          <w:sz w:val="24"/>
          <w:szCs w:val="24"/>
          <w:lang w:val="en-GB"/>
        </w:rPr>
        <w:t xml:space="preserve">. Search Engine Land. </w:t>
      </w:r>
      <w:hyperlink r:id="R7a99ad48330a4966">
        <w:r w:rsidRPr="705A5F2D" w:rsidR="6DBA1F8C">
          <w:rPr>
            <w:rStyle w:val="Hyperlink"/>
            <w:b w:val="0"/>
            <w:bCs w:val="0"/>
            <w:i w:val="0"/>
            <w:iCs w:val="0"/>
            <w:caps w:val="0"/>
            <w:smallCaps w:val="0"/>
            <w:noProof w:val="0"/>
            <w:lang w:val="en-GB"/>
          </w:rPr>
          <w:t>https://searchengineland.com/aimclears-psychographic-targeting-for-political-advertising-agencies-wins-237290</w:t>
        </w:r>
      </w:hyperlink>
    </w:p>
    <w:p w:rsidR="6DBA1F8C" w:rsidP="705A5F2D" w:rsidRDefault="6DBA1F8C" w14:paraId="53B7E8FF" w14:textId="42D52183">
      <w:pPr>
        <w:shd w:val="clear" w:color="auto" w:fill="FFFFFF" w:themeFill="background1"/>
        <w:spacing w:before="0" w:beforeAutospacing="off" w:after="240" w:afterAutospacing="off"/>
        <w:jc w:val="left"/>
      </w:pPr>
      <w:r w:rsidRPr="705A5F2D" w:rsidR="6DBA1F8C">
        <w:rPr>
          <w:rFonts w:ascii="Aptos" w:hAnsi="Aptos" w:eastAsia="Aptos" w:cs="Aptos"/>
          <w:b w:val="0"/>
          <w:bCs w:val="0"/>
          <w:i w:val="0"/>
          <w:iCs w:val="0"/>
          <w:caps w:val="0"/>
          <w:smallCaps w:val="0"/>
          <w:noProof w:val="0"/>
          <w:color w:val="4C5A73"/>
          <w:sz w:val="24"/>
          <w:szCs w:val="24"/>
          <w:lang w:val="en-GB"/>
        </w:rPr>
        <w:t xml:space="preserve">Cole, P., &amp; Morgan , J. L. (1975). Logic and Conversation . </w:t>
      </w:r>
      <w:r w:rsidRPr="705A5F2D" w:rsidR="6DBA1F8C">
        <w:rPr>
          <w:rFonts w:ascii="Aptos" w:hAnsi="Aptos" w:eastAsia="Aptos" w:cs="Aptos"/>
          <w:b w:val="0"/>
          <w:bCs w:val="0"/>
          <w:i w:val="1"/>
          <w:iCs w:val="1"/>
          <w:caps w:val="0"/>
          <w:smallCaps w:val="0"/>
          <w:noProof w:val="0"/>
          <w:color w:val="4C5A73"/>
          <w:sz w:val="24"/>
          <w:szCs w:val="24"/>
          <w:lang w:val="en-GB"/>
        </w:rPr>
        <w:t xml:space="preserve">Syntax and Semantics </w:t>
      </w:r>
      <w:r w:rsidRPr="705A5F2D" w:rsidR="6DBA1F8C">
        <w:rPr>
          <w:rFonts w:ascii="Aptos" w:hAnsi="Aptos" w:eastAsia="Aptos" w:cs="Aptos"/>
          <w:b w:val="0"/>
          <w:bCs w:val="0"/>
          <w:i w:val="0"/>
          <w:iCs w:val="0"/>
          <w:caps w:val="0"/>
          <w:smallCaps w:val="0"/>
          <w:noProof w:val="0"/>
          <w:color w:val="4C5A73"/>
          <w:sz w:val="24"/>
          <w:szCs w:val="24"/>
          <w:lang w:val="en-GB"/>
        </w:rPr>
        <w:t xml:space="preserve">, </w:t>
      </w:r>
      <w:r w:rsidRPr="705A5F2D" w:rsidR="6DBA1F8C">
        <w:rPr>
          <w:rFonts w:ascii="Aptos" w:hAnsi="Aptos" w:eastAsia="Aptos" w:cs="Aptos"/>
          <w:b w:val="0"/>
          <w:bCs w:val="0"/>
          <w:i w:val="1"/>
          <w:iCs w:val="1"/>
          <w:caps w:val="0"/>
          <w:smallCaps w:val="0"/>
          <w:noProof w:val="0"/>
          <w:color w:val="4C5A73"/>
          <w:sz w:val="24"/>
          <w:szCs w:val="24"/>
          <w:lang w:val="en-GB"/>
        </w:rPr>
        <w:t>3</w:t>
      </w:r>
      <w:r w:rsidRPr="705A5F2D" w:rsidR="6DBA1F8C">
        <w:rPr>
          <w:rFonts w:ascii="Aptos" w:hAnsi="Aptos" w:eastAsia="Aptos" w:cs="Aptos"/>
          <w:b w:val="0"/>
          <w:bCs w:val="0"/>
          <w:i w:val="0"/>
          <w:iCs w:val="0"/>
          <w:caps w:val="0"/>
          <w:smallCaps w:val="0"/>
          <w:noProof w:val="0"/>
          <w:color w:val="4C5A73"/>
          <w:sz w:val="24"/>
          <w:szCs w:val="24"/>
          <w:lang w:val="en-GB"/>
        </w:rPr>
        <w:t>, 41–58.</w:t>
      </w:r>
    </w:p>
    <w:p w:rsidR="6DBA1F8C" w:rsidP="705A5F2D" w:rsidRDefault="6DBA1F8C" w14:paraId="301E67C3" w14:textId="4745A8B6">
      <w:pPr>
        <w:pStyle w:val="Normal"/>
        <w:jc w:val="left"/>
        <w:rPr>
          <w:rFonts w:ascii="Aptos" w:hAnsi="Aptos" w:eastAsia="Aptos" w:cs="Aptos"/>
          <w:b w:val="0"/>
          <w:bCs w:val="0"/>
          <w:i w:val="0"/>
          <w:iCs w:val="0"/>
          <w:caps w:val="0"/>
          <w:smallCaps w:val="0"/>
          <w:noProof w:val="0"/>
          <w:color w:val="4C5A73"/>
          <w:sz w:val="24"/>
          <w:szCs w:val="24"/>
          <w:lang w:val="en-GB"/>
        </w:rPr>
      </w:pPr>
      <w:r w:rsidRPr="705A5F2D" w:rsidR="6DBA1F8C">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 skills, structure training, and metacognitive monitoring. </w:t>
      </w:r>
      <w:r w:rsidRPr="705A5F2D" w:rsidR="6DBA1F8C">
        <w:rPr>
          <w:rFonts w:ascii="Aptos" w:hAnsi="Aptos" w:eastAsia="Aptos" w:cs="Aptos"/>
          <w:b w:val="0"/>
          <w:bCs w:val="0"/>
          <w:i w:val="1"/>
          <w:iCs w:val="1"/>
          <w:caps w:val="0"/>
          <w:smallCaps w:val="0"/>
          <w:noProof w:val="0"/>
          <w:color w:val="4C5A73"/>
          <w:sz w:val="24"/>
          <w:szCs w:val="24"/>
          <w:lang w:val="en-GB"/>
        </w:rPr>
        <w:t>American Psychologist</w:t>
      </w:r>
      <w:r w:rsidRPr="705A5F2D" w:rsidR="6DBA1F8C">
        <w:rPr>
          <w:rFonts w:ascii="Aptos" w:hAnsi="Aptos" w:eastAsia="Aptos" w:cs="Aptos"/>
          <w:b w:val="0"/>
          <w:bCs w:val="0"/>
          <w:i w:val="0"/>
          <w:iCs w:val="0"/>
          <w:caps w:val="0"/>
          <w:smallCaps w:val="0"/>
          <w:noProof w:val="0"/>
          <w:color w:val="4C5A73"/>
          <w:sz w:val="24"/>
          <w:szCs w:val="24"/>
          <w:lang w:val="en-GB"/>
        </w:rPr>
        <w:t xml:space="preserve">, </w:t>
      </w:r>
      <w:r w:rsidRPr="705A5F2D" w:rsidR="6DBA1F8C">
        <w:rPr>
          <w:rFonts w:ascii="Aptos" w:hAnsi="Aptos" w:eastAsia="Aptos" w:cs="Aptos"/>
          <w:b w:val="0"/>
          <w:bCs w:val="0"/>
          <w:i w:val="1"/>
          <w:iCs w:val="1"/>
          <w:caps w:val="0"/>
          <w:smallCaps w:val="0"/>
          <w:noProof w:val="0"/>
          <w:color w:val="4C5A73"/>
          <w:sz w:val="24"/>
          <w:szCs w:val="24"/>
          <w:lang w:val="en-GB"/>
        </w:rPr>
        <w:t>53</w:t>
      </w:r>
      <w:r w:rsidRPr="705A5F2D" w:rsidR="6DBA1F8C">
        <w:rPr>
          <w:rFonts w:ascii="Aptos" w:hAnsi="Aptos" w:eastAsia="Aptos" w:cs="Aptos"/>
          <w:b w:val="0"/>
          <w:bCs w:val="0"/>
          <w:i w:val="0"/>
          <w:iCs w:val="0"/>
          <w:caps w:val="0"/>
          <w:smallCaps w:val="0"/>
          <w:noProof w:val="0"/>
          <w:color w:val="4C5A73"/>
          <w:sz w:val="24"/>
          <w:szCs w:val="24"/>
          <w:lang w:val="en-GB"/>
        </w:rPr>
        <w:t xml:space="preserve">(4), 449–455. </w:t>
      </w:r>
      <w:hyperlink r:id="Re97acbc863924ad4">
        <w:r w:rsidRPr="705A5F2D" w:rsidR="6DBA1F8C">
          <w:rPr>
            <w:rStyle w:val="Hyperlink"/>
            <w:b w:val="0"/>
            <w:bCs w:val="0"/>
            <w:i w:val="0"/>
            <w:iCs w:val="0"/>
            <w:caps w:val="0"/>
            <w:smallCaps w:val="0"/>
            <w:noProof w:val="0"/>
            <w:lang w:val="en-GB"/>
          </w:rPr>
          <w:t>https://doi.org/10.1037/0003-066x.53.4.449</w:t>
        </w:r>
      </w:hyperlink>
      <w:r>
        <w:br/>
      </w:r>
      <w:r>
        <w:br/>
      </w:r>
      <w:r w:rsidRPr="705A5F2D" w:rsidR="30166D55">
        <w:rPr>
          <w:rFonts w:ascii="Aptos" w:hAnsi="Aptos" w:eastAsia="Aptos" w:cs="Aptos"/>
          <w:b w:val="0"/>
          <w:bCs w:val="0"/>
          <w:i w:val="0"/>
          <w:iCs w:val="0"/>
          <w:caps w:val="0"/>
          <w:smallCaps w:val="0"/>
          <w:noProof w:val="0"/>
          <w:color w:val="4C5A73"/>
          <w:sz w:val="24"/>
          <w:szCs w:val="24"/>
          <w:lang w:val="en-GB"/>
        </w:rPr>
        <w:t>--</w:t>
      </w:r>
      <w:r>
        <w:br/>
      </w:r>
      <w:r w:rsidRPr="705A5F2D" w:rsidR="73EBAA9E">
        <w:rPr>
          <w:rFonts w:ascii="Aptos" w:hAnsi="Aptos" w:eastAsia="Aptos" w:cs="Aptos"/>
          <w:b w:val="0"/>
          <w:bCs w:val="0"/>
          <w:i w:val="0"/>
          <w:iCs w:val="0"/>
          <w:caps w:val="0"/>
          <w:smallCaps w:val="0"/>
          <w:noProof w:val="0"/>
          <w:color w:val="4C5A73"/>
          <w:sz w:val="24"/>
          <w:szCs w:val="24"/>
          <w:lang w:val="en-GB"/>
        </w:rPr>
        <w:t>Peer Response 1:</w:t>
      </w:r>
      <w:r>
        <w:br/>
      </w:r>
      <w:r>
        <w:br/>
      </w:r>
      <w:r w:rsidRPr="705A5F2D" w:rsidR="34D5709B">
        <w:rPr>
          <w:rFonts w:ascii="Aptos" w:hAnsi="Aptos" w:eastAsia="Aptos" w:cs="Aptos"/>
          <w:b w:val="0"/>
          <w:bCs w:val="0"/>
          <w:i w:val="0"/>
          <w:iCs w:val="0"/>
          <w:caps w:val="0"/>
          <w:smallCaps w:val="0"/>
          <w:noProof w:val="0"/>
          <w:color w:val="4C5A73"/>
          <w:sz w:val="24"/>
          <w:szCs w:val="24"/>
          <w:lang w:val="en-GB"/>
        </w:rPr>
        <w:t xml:space="preserve">Zihuna, you </w:t>
      </w:r>
      <w:r w:rsidRPr="705A5F2D" w:rsidR="34D5709B">
        <w:rPr>
          <w:rFonts w:ascii="Aptos" w:hAnsi="Aptos" w:eastAsia="Aptos" w:cs="Aptos"/>
          <w:b w:val="0"/>
          <w:bCs w:val="0"/>
          <w:i w:val="0"/>
          <w:iCs w:val="0"/>
          <w:caps w:val="0"/>
          <w:smallCaps w:val="0"/>
          <w:noProof w:val="0"/>
          <w:color w:val="4C5A73"/>
          <w:sz w:val="24"/>
          <w:szCs w:val="24"/>
          <w:lang w:val="en-GB"/>
        </w:rPr>
        <w:t>demonstrate</w:t>
      </w:r>
      <w:r w:rsidRPr="705A5F2D" w:rsidR="34D5709B">
        <w:rPr>
          <w:rFonts w:ascii="Aptos" w:hAnsi="Aptos" w:eastAsia="Aptos" w:cs="Aptos"/>
          <w:b w:val="0"/>
          <w:bCs w:val="0"/>
          <w:i w:val="0"/>
          <w:iCs w:val="0"/>
          <w:caps w:val="0"/>
          <w:smallCaps w:val="0"/>
          <w:noProof w:val="0"/>
          <w:color w:val="4C5A73"/>
          <w:sz w:val="24"/>
          <w:szCs w:val="24"/>
          <w:lang w:val="en-GB"/>
        </w:rPr>
        <w:t xml:space="preserve"> a clear and strong understanding of the relationship between political advertising, Grice’s Cooperative Principle, and Halpern’s critical thinking theory. A major strength of your post is how you integrated multiple theoretical perspectives to critically evaluate the </w:t>
      </w:r>
      <w:r w:rsidRPr="705A5F2D" w:rsidR="34D5709B">
        <w:rPr>
          <w:rFonts w:ascii="Aptos" w:hAnsi="Aptos" w:eastAsia="Aptos" w:cs="Aptos"/>
          <w:b w:val="0"/>
          <w:bCs w:val="0"/>
          <w:i w:val="0"/>
          <w:iCs w:val="0"/>
          <w:caps w:val="0"/>
          <w:smallCaps w:val="0"/>
          <w:noProof w:val="0"/>
          <w:color w:val="4C5A73"/>
          <w:sz w:val="24"/>
          <w:szCs w:val="24"/>
          <w:lang w:val="en-GB"/>
        </w:rPr>
        <w:t>clearaims</w:t>
      </w:r>
      <w:r w:rsidRPr="705A5F2D" w:rsidR="34D5709B">
        <w:rPr>
          <w:rFonts w:ascii="Aptos" w:hAnsi="Aptos" w:eastAsia="Aptos" w:cs="Aptos"/>
          <w:b w:val="0"/>
          <w:bCs w:val="0"/>
          <w:i w:val="0"/>
          <w:iCs w:val="0"/>
          <w:caps w:val="0"/>
          <w:smallCaps w:val="0"/>
          <w:noProof w:val="0"/>
          <w:color w:val="4C5A73"/>
          <w:sz w:val="24"/>
          <w:szCs w:val="24"/>
          <w:lang w:val="en-GB"/>
        </w:rPr>
        <w:t xml:space="preserve"> article.</w:t>
      </w:r>
      <w:r>
        <w:br/>
      </w:r>
      <w:r>
        <w:br/>
      </w:r>
      <w:r w:rsidRPr="705A5F2D" w:rsidR="34D5709B">
        <w:rPr>
          <w:rFonts w:ascii="Aptos" w:hAnsi="Aptos" w:eastAsia="Aptos" w:cs="Aptos"/>
          <w:b w:val="0"/>
          <w:bCs w:val="0"/>
          <w:i w:val="0"/>
          <w:iCs w:val="0"/>
          <w:caps w:val="0"/>
          <w:smallCaps w:val="0"/>
          <w:noProof w:val="0"/>
          <w:color w:val="4C5A73"/>
          <w:sz w:val="24"/>
          <w:szCs w:val="24"/>
          <w:lang w:val="en-GB"/>
        </w:rPr>
        <w:t xml:space="preserve">You </w:t>
      </w:r>
      <w:r w:rsidRPr="705A5F2D" w:rsidR="34D5709B">
        <w:rPr>
          <w:rFonts w:ascii="Aptos" w:hAnsi="Aptos" w:eastAsia="Aptos" w:cs="Aptos"/>
          <w:b w:val="0"/>
          <w:bCs w:val="0"/>
          <w:i w:val="0"/>
          <w:iCs w:val="0"/>
          <w:caps w:val="0"/>
          <w:smallCaps w:val="0"/>
          <w:noProof w:val="0"/>
          <w:color w:val="4C5A73"/>
          <w:sz w:val="24"/>
          <w:szCs w:val="24"/>
          <w:lang w:val="en-GB"/>
        </w:rPr>
        <w:t>provided</w:t>
      </w:r>
      <w:r w:rsidRPr="705A5F2D" w:rsidR="34D5709B">
        <w:rPr>
          <w:rFonts w:ascii="Aptos" w:hAnsi="Aptos" w:eastAsia="Aptos" w:cs="Aptos"/>
          <w:b w:val="0"/>
          <w:bCs w:val="0"/>
          <w:i w:val="0"/>
          <w:iCs w:val="0"/>
          <w:caps w:val="0"/>
          <w:smallCaps w:val="0"/>
          <w:noProof w:val="0"/>
          <w:color w:val="4C5A73"/>
          <w:sz w:val="24"/>
          <w:szCs w:val="24"/>
          <w:lang w:val="en-GB"/>
        </w:rPr>
        <w:t xml:space="preserve"> relevant examples of ways the four Gricean maxims may be violated through political advertising, particularly through techniques such as “stalk targeting</w:t>
      </w:r>
      <w:r w:rsidRPr="705A5F2D" w:rsidR="34D5709B">
        <w:rPr>
          <w:rFonts w:ascii="Aptos" w:hAnsi="Aptos" w:eastAsia="Aptos" w:cs="Aptos"/>
          <w:b w:val="0"/>
          <w:bCs w:val="0"/>
          <w:i w:val="0"/>
          <w:iCs w:val="0"/>
          <w:caps w:val="0"/>
          <w:smallCaps w:val="0"/>
          <w:noProof w:val="0"/>
          <w:color w:val="4C5A73"/>
          <w:sz w:val="24"/>
          <w:szCs w:val="24"/>
          <w:lang w:val="en-GB"/>
        </w:rPr>
        <w:t>”.</w:t>
      </w:r>
      <w:r w:rsidRPr="705A5F2D" w:rsidR="34D5709B">
        <w:rPr>
          <w:rFonts w:ascii="Aptos" w:hAnsi="Aptos" w:eastAsia="Aptos" w:cs="Aptos"/>
          <w:b w:val="0"/>
          <w:bCs w:val="0"/>
          <w:i w:val="0"/>
          <w:iCs w:val="0"/>
          <w:caps w:val="0"/>
          <w:smallCaps w:val="0"/>
          <w:noProof w:val="0"/>
          <w:color w:val="4C5A73"/>
          <w:sz w:val="24"/>
          <w:szCs w:val="24"/>
          <w:lang w:val="en-GB"/>
        </w:rPr>
        <w:t xml:space="preserve"> To develop your point further, a recent study highlighted the extensive amount of data which is collected from internet users. For example, the average American's data is tracked 747 times a day, meaning internet users’ activity and location are being tracked </w:t>
      </w:r>
      <w:r w:rsidRPr="705A5F2D" w:rsidR="34D5709B">
        <w:rPr>
          <w:rFonts w:ascii="Aptos" w:hAnsi="Aptos" w:eastAsia="Aptos" w:cs="Aptos"/>
          <w:b w:val="0"/>
          <w:bCs w:val="0"/>
          <w:i w:val="0"/>
          <w:iCs w:val="0"/>
          <w:caps w:val="0"/>
          <w:smallCaps w:val="0"/>
          <w:noProof w:val="0"/>
          <w:color w:val="4C5A73"/>
          <w:sz w:val="24"/>
          <w:szCs w:val="24"/>
          <w:lang w:val="en-GB"/>
        </w:rPr>
        <w:t>nearly 107</w:t>
      </w:r>
      <w:r w:rsidRPr="705A5F2D" w:rsidR="34D5709B">
        <w:rPr>
          <w:rFonts w:ascii="Aptos" w:hAnsi="Aptos" w:eastAsia="Aptos" w:cs="Aptos"/>
          <w:b w:val="0"/>
          <w:bCs w:val="0"/>
          <w:i w:val="0"/>
          <w:iCs w:val="0"/>
          <w:caps w:val="0"/>
          <w:smallCaps w:val="0"/>
          <w:noProof w:val="0"/>
          <w:color w:val="4C5A73"/>
          <w:sz w:val="24"/>
          <w:szCs w:val="24"/>
          <w:lang w:val="en-GB"/>
        </w:rPr>
        <w:t xml:space="preserve"> trillion times a year (EPIC, 2019). This persistent tracking can allow political advertisers to create and tailor messages/post to </w:t>
      </w:r>
      <w:r w:rsidRPr="705A5F2D" w:rsidR="34D5709B">
        <w:rPr>
          <w:rFonts w:ascii="Aptos" w:hAnsi="Aptos" w:eastAsia="Aptos" w:cs="Aptos"/>
          <w:b w:val="0"/>
          <w:bCs w:val="0"/>
          <w:i w:val="0"/>
          <w:iCs w:val="0"/>
          <w:caps w:val="0"/>
          <w:smallCaps w:val="0"/>
          <w:noProof w:val="0"/>
          <w:color w:val="4C5A73"/>
          <w:sz w:val="24"/>
          <w:szCs w:val="24"/>
          <w:lang w:val="en-GB"/>
        </w:rPr>
        <w:t>different groups</w:t>
      </w:r>
      <w:r w:rsidRPr="705A5F2D" w:rsidR="34D5709B">
        <w:rPr>
          <w:rFonts w:ascii="Aptos" w:hAnsi="Aptos" w:eastAsia="Aptos" w:cs="Aptos"/>
          <w:b w:val="0"/>
          <w:bCs w:val="0"/>
          <w:i w:val="0"/>
          <w:iCs w:val="0"/>
          <w:caps w:val="0"/>
          <w:smallCaps w:val="0"/>
          <w:noProof w:val="0"/>
          <w:color w:val="4C5A73"/>
          <w:sz w:val="24"/>
          <w:szCs w:val="24"/>
          <w:lang w:val="en-GB"/>
        </w:rPr>
        <w:t xml:space="preserve"> based on their online behaviour. Furthermore, you could discuss political microtargeting, which highlights how different platforms can gather data on preferences and characteristics, allowing advertisers to promote their political campaigns that may </w:t>
      </w:r>
      <w:r w:rsidRPr="705A5F2D" w:rsidR="34D5709B">
        <w:rPr>
          <w:rFonts w:ascii="Aptos" w:hAnsi="Aptos" w:eastAsia="Aptos" w:cs="Aptos"/>
          <w:b w:val="0"/>
          <w:bCs w:val="0"/>
          <w:i w:val="0"/>
          <w:iCs w:val="0"/>
          <w:caps w:val="0"/>
          <w:smallCaps w:val="0"/>
          <w:noProof w:val="0"/>
          <w:color w:val="4C5A73"/>
          <w:sz w:val="24"/>
          <w:szCs w:val="24"/>
          <w:lang w:val="en-GB"/>
        </w:rPr>
        <w:t>contain</w:t>
      </w:r>
      <w:r w:rsidRPr="705A5F2D" w:rsidR="34D5709B">
        <w:rPr>
          <w:rFonts w:ascii="Aptos" w:hAnsi="Aptos" w:eastAsia="Aptos" w:cs="Aptos"/>
          <w:b w:val="0"/>
          <w:bCs w:val="0"/>
          <w:i w:val="0"/>
          <w:iCs w:val="0"/>
          <w:caps w:val="0"/>
          <w:smallCaps w:val="0"/>
          <w:noProof w:val="0"/>
          <w:color w:val="4C5A73"/>
          <w:sz w:val="24"/>
          <w:szCs w:val="24"/>
          <w:lang w:val="en-GB"/>
        </w:rPr>
        <w:t xml:space="preserve"> disinformation, influencing voters’ core beliefs (van Gils et al., 2025). This could be used to strengthen your argument that political microtargeting creates tension with Grice’s maxims of quantity and relation.</w:t>
      </w:r>
      <w:r>
        <w:br/>
      </w:r>
      <w:r>
        <w:br/>
      </w:r>
      <w:r w:rsidRPr="705A5F2D" w:rsidR="34D5709B">
        <w:rPr>
          <w:rFonts w:ascii="Aptos" w:hAnsi="Aptos" w:eastAsia="Aptos" w:cs="Aptos"/>
          <w:b w:val="0"/>
          <w:bCs w:val="0"/>
          <w:i w:val="0"/>
          <w:iCs w:val="0"/>
          <w:caps w:val="0"/>
          <w:smallCaps w:val="0"/>
          <w:noProof w:val="0"/>
          <w:color w:val="4C5A73"/>
          <w:sz w:val="24"/>
          <w:szCs w:val="24"/>
          <w:lang w:val="en-GB"/>
        </w:rPr>
        <w:t xml:space="preserve">Your discussion on Halpern’s critical thinking model was also compelling; particularly intrigued by your argument that critical thinking is not fully ethical. I would challenge this, as </w:t>
      </w:r>
      <w:r w:rsidRPr="705A5F2D" w:rsidR="34D5709B">
        <w:rPr>
          <w:rFonts w:ascii="Aptos" w:hAnsi="Aptos" w:eastAsia="Aptos" w:cs="Aptos"/>
          <w:b w:val="0"/>
          <w:bCs w:val="0"/>
          <w:i w:val="0"/>
          <w:iCs w:val="0"/>
          <w:caps w:val="0"/>
          <w:smallCaps w:val="0"/>
          <w:noProof w:val="0"/>
          <w:color w:val="4C5A73"/>
          <w:sz w:val="24"/>
          <w:szCs w:val="24"/>
          <w:lang w:val="en-GB"/>
        </w:rPr>
        <w:t>I believe it</w:t>
      </w:r>
      <w:r w:rsidRPr="705A5F2D" w:rsidR="34D5709B">
        <w:rPr>
          <w:rFonts w:ascii="Aptos" w:hAnsi="Aptos" w:eastAsia="Aptos" w:cs="Aptos"/>
          <w:b w:val="0"/>
          <w:bCs w:val="0"/>
          <w:i w:val="0"/>
          <w:iCs w:val="0"/>
          <w:caps w:val="0"/>
          <w:smallCaps w:val="0"/>
          <w:noProof w:val="0"/>
          <w:color w:val="4C5A73"/>
          <w:sz w:val="24"/>
          <w:szCs w:val="24"/>
          <w:lang w:val="en-GB"/>
        </w:rPr>
        <w:t xml:space="preserve"> is neither ethical nor unethical; rather, it depends on how it is used. For example, Matthes et al. (2026) found a positive correlation between microtargeted political advertising and positive attitudes. Overall, results </w:t>
      </w:r>
      <w:r w:rsidRPr="705A5F2D" w:rsidR="34D5709B">
        <w:rPr>
          <w:rFonts w:ascii="Aptos" w:hAnsi="Aptos" w:eastAsia="Aptos" w:cs="Aptos"/>
          <w:b w:val="0"/>
          <w:bCs w:val="0"/>
          <w:i w:val="0"/>
          <w:iCs w:val="0"/>
          <w:caps w:val="0"/>
          <w:smallCaps w:val="0"/>
          <w:noProof w:val="0"/>
          <w:color w:val="4C5A73"/>
          <w:sz w:val="24"/>
          <w:szCs w:val="24"/>
          <w:lang w:val="en-GB"/>
        </w:rPr>
        <w:t>demonstrated</w:t>
      </w:r>
      <w:r w:rsidRPr="705A5F2D" w:rsidR="34D5709B">
        <w:rPr>
          <w:rFonts w:ascii="Aptos" w:hAnsi="Aptos" w:eastAsia="Aptos" w:cs="Aptos"/>
          <w:b w:val="0"/>
          <w:bCs w:val="0"/>
          <w:i w:val="0"/>
          <w:iCs w:val="0"/>
          <w:caps w:val="0"/>
          <w:smallCaps w:val="0"/>
          <w:noProof w:val="0"/>
          <w:color w:val="4C5A73"/>
          <w:sz w:val="24"/>
          <w:szCs w:val="24"/>
          <w:lang w:val="en-GB"/>
        </w:rPr>
        <w:t xml:space="preserve"> that politically congruent ads lead to a positive political interest (Matthes et al., 2026). While your point highlights how critical thinking is used to be persuasive, it may be useful to acknowledge that the outcomes can vary.</w:t>
      </w:r>
      <w:r>
        <w:br/>
      </w:r>
      <w:r>
        <w:br/>
      </w:r>
      <w:r w:rsidRPr="705A5F2D" w:rsidR="34D5709B">
        <w:rPr>
          <w:rFonts w:ascii="Aptos" w:hAnsi="Aptos" w:eastAsia="Aptos" w:cs="Aptos"/>
          <w:b w:val="0"/>
          <w:bCs w:val="0"/>
          <w:i w:val="0"/>
          <w:iCs w:val="0"/>
          <w:caps w:val="0"/>
          <w:smallCaps w:val="0"/>
          <w:noProof w:val="0"/>
          <w:color w:val="4C5A73"/>
          <w:sz w:val="24"/>
          <w:szCs w:val="24"/>
          <w:lang w:val="en-GB"/>
        </w:rPr>
        <w:t>Overall, I really enjoyed reading your post; you provided a strong analysis of how critical thinking skills can be applied to political advertising whilst also including ethical considerations. I think potentially incorporating strengths alongside risks could further help to strengthen your post.</w:t>
      </w:r>
      <w:r>
        <w:br/>
      </w:r>
      <w:r>
        <w:br/>
      </w:r>
      <w:r>
        <w:br/>
      </w:r>
      <w:r>
        <w:br/>
      </w:r>
      <w:r>
        <w:br/>
      </w:r>
      <w:r w:rsidRPr="705A5F2D" w:rsidR="34D5709B">
        <w:rPr>
          <w:rFonts w:ascii="Aptos" w:hAnsi="Aptos" w:eastAsia="Aptos" w:cs="Aptos"/>
          <w:b w:val="0"/>
          <w:bCs w:val="0"/>
          <w:i w:val="0"/>
          <w:iCs w:val="0"/>
          <w:caps w:val="0"/>
          <w:smallCaps w:val="0"/>
          <w:noProof w:val="0"/>
          <w:color w:val="4C5A73"/>
          <w:sz w:val="24"/>
          <w:szCs w:val="24"/>
          <w:lang w:val="en-GB"/>
        </w:rPr>
        <w:t>References</w:t>
      </w:r>
      <w:r>
        <w:br/>
      </w:r>
      <w:r w:rsidRPr="705A5F2D" w:rsidR="34D5709B">
        <w:rPr>
          <w:rFonts w:ascii="Aptos" w:hAnsi="Aptos" w:eastAsia="Aptos" w:cs="Aptos"/>
          <w:b w:val="0"/>
          <w:bCs w:val="0"/>
          <w:i w:val="0"/>
          <w:iCs w:val="0"/>
          <w:caps w:val="0"/>
          <w:smallCaps w:val="0"/>
          <w:noProof w:val="0"/>
          <w:color w:val="4C5A73"/>
          <w:sz w:val="24"/>
          <w:szCs w:val="24"/>
          <w:lang w:val="en-GB"/>
        </w:rPr>
        <w:t xml:space="preserve">EPIC. (2019). Online advertising &amp; tracking. EPIC - Electronic Privacy Information </w:t>
      </w:r>
      <w:r w:rsidRPr="705A5F2D" w:rsidR="34D5709B">
        <w:rPr>
          <w:rFonts w:ascii="Aptos" w:hAnsi="Aptos" w:eastAsia="Aptos" w:cs="Aptos"/>
          <w:b w:val="0"/>
          <w:bCs w:val="0"/>
          <w:i w:val="0"/>
          <w:iCs w:val="0"/>
          <w:caps w:val="0"/>
          <w:smallCaps w:val="0"/>
          <w:noProof w:val="0"/>
          <w:color w:val="4C5A73"/>
          <w:sz w:val="24"/>
          <w:szCs w:val="24"/>
          <w:lang w:val="en-GB"/>
        </w:rPr>
        <w:t>Center</w:t>
      </w:r>
      <w:r w:rsidRPr="705A5F2D" w:rsidR="34D5709B">
        <w:rPr>
          <w:rFonts w:ascii="Aptos" w:hAnsi="Aptos" w:eastAsia="Aptos" w:cs="Aptos"/>
          <w:b w:val="0"/>
          <w:bCs w:val="0"/>
          <w:i w:val="0"/>
          <w:iCs w:val="0"/>
          <w:caps w:val="0"/>
          <w:smallCaps w:val="0"/>
          <w:noProof w:val="0"/>
          <w:color w:val="4C5A73"/>
          <w:sz w:val="24"/>
          <w:szCs w:val="24"/>
          <w:lang w:val="en-GB"/>
        </w:rPr>
        <w:t>. https://epic.org/issues/consumer-privacy/online-advertising-and-tracking/?utm_source=chatgpt.com</w:t>
      </w:r>
      <w:r>
        <w:br/>
      </w:r>
      <w:r w:rsidRPr="705A5F2D" w:rsidR="34D5709B">
        <w:rPr>
          <w:rFonts w:ascii="Aptos" w:hAnsi="Aptos" w:eastAsia="Aptos" w:cs="Aptos"/>
          <w:b w:val="0"/>
          <w:bCs w:val="0"/>
          <w:i w:val="0"/>
          <w:iCs w:val="0"/>
          <w:caps w:val="0"/>
          <w:smallCaps w:val="0"/>
          <w:noProof w:val="0"/>
          <w:color w:val="4C5A73"/>
          <w:sz w:val="24"/>
          <w:szCs w:val="24"/>
          <w:lang w:val="en-GB"/>
        </w:rPr>
        <w:t>Matthes, J., Hirsch, M., Noetzel, S., &amp; Binder, A. (2026). The cognitive benefits of online microtargeted political ads: explaining attitudes, political interest, and campaign knowledge. Information, Communication &amp; Society, 1–20. https://doi.org/10.1080/1369118x.2026.2642841</w:t>
      </w:r>
      <w:r>
        <w:br/>
      </w:r>
      <w:r w:rsidRPr="705A5F2D" w:rsidR="34D5709B">
        <w:rPr>
          <w:rFonts w:ascii="Aptos" w:hAnsi="Aptos" w:eastAsia="Aptos" w:cs="Aptos"/>
          <w:b w:val="0"/>
          <w:bCs w:val="0"/>
          <w:i w:val="0"/>
          <w:iCs w:val="0"/>
          <w:caps w:val="0"/>
          <w:smallCaps w:val="0"/>
          <w:noProof w:val="0"/>
          <w:color w:val="4C5A73"/>
          <w:sz w:val="24"/>
          <w:szCs w:val="24"/>
          <w:lang w:val="en-GB"/>
        </w:rPr>
        <w:t xml:space="preserve">van Gils, F., Müller, W., &amp; </w:t>
      </w:r>
      <w:r w:rsidRPr="705A5F2D" w:rsidR="34D5709B">
        <w:rPr>
          <w:rFonts w:ascii="Aptos" w:hAnsi="Aptos" w:eastAsia="Aptos" w:cs="Aptos"/>
          <w:b w:val="0"/>
          <w:bCs w:val="0"/>
          <w:i w:val="0"/>
          <w:iCs w:val="0"/>
          <w:caps w:val="0"/>
          <w:smallCaps w:val="0"/>
          <w:noProof w:val="0"/>
          <w:color w:val="4C5A73"/>
          <w:sz w:val="24"/>
          <w:szCs w:val="24"/>
          <w:lang w:val="en-GB"/>
        </w:rPr>
        <w:t>Prüfer</w:t>
      </w:r>
      <w:r w:rsidRPr="705A5F2D" w:rsidR="34D5709B">
        <w:rPr>
          <w:rFonts w:ascii="Aptos" w:hAnsi="Aptos" w:eastAsia="Aptos" w:cs="Aptos"/>
          <w:b w:val="0"/>
          <w:bCs w:val="0"/>
          <w:i w:val="0"/>
          <w:iCs w:val="0"/>
          <w:caps w:val="0"/>
          <w:smallCaps w:val="0"/>
          <w:noProof w:val="0"/>
          <w:color w:val="4C5A73"/>
          <w:sz w:val="24"/>
          <w:szCs w:val="24"/>
          <w:lang w:val="en-GB"/>
        </w:rPr>
        <w:t xml:space="preserve">, J. (2025). Microtargeting, voters’ unawareness, and democracy†. The Journal of Law, Economics, and Organization, 41(2), 634–653. </w:t>
      </w:r>
      <w:hyperlink r:id="R2867fb65b5924113">
        <w:r w:rsidRPr="705A5F2D" w:rsidR="34D5709B">
          <w:rPr>
            <w:rStyle w:val="Hyperlink"/>
            <w:b w:val="0"/>
            <w:bCs w:val="0"/>
            <w:i w:val="0"/>
            <w:iCs w:val="0"/>
            <w:caps w:val="0"/>
            <w:smallCaps w:val="0"/>
            <w:noProof w:val="0"/>
            <w:lang w:val="en-GB"/>
          </w:rPr>
          <w:t>https://doi.org/https://doi.org/10.1093/jleo/ewae002</w:t>
        </w:r>
      </w:hyperlink>
      <w:r>
        <w:br/>
      </w:r>
      <w:r>
        <w:br/>
      </w:r>
      <w:r w:rsidRPr="705A5F2D" w:rsidR="78718F11">
        <w:rPr>
          <w:rFonts w:ascii="Aptos" w:hAnsi="Aptos" w:eastAsia="Aptos" w:cs="Aptos"/>
          <w:b w:val="0"/>
          <w:bCs w:val="0"/>
          <w:i w:val="0"/>
          <w:iCs w:val="0"/>
          <w:caps w:val="0"/>
          <w:smallCaps w:val="0"/>
          <w:noProof w:val="0"/>
          <w:color w:val="4C5A73"/>
          <w:sz w:val="24"/>
          <w:szCs w:val="24"/>
          <w:lang w:val="en-GB"/>
        </w:rPr>
        <w:t>--</w:t>
      </w:r>
      <w:r>
        <w:br/>
      </w:r>
      <w:r w:rsidRPr="705A5F2D" w:rsidR="51382818">
        <w:rPr>
          <w:rFonts w:ascii="Aptos" w:hAnsi="Aptos" w:eastAsia="Aptos" w:cs="Aptos"/>
          <w:b w:val="0"/>
          <w:bCs w:val="0"/>
          <w:i w:val="0"/>
          <w:iCs w:val="0"/>
          <w:caps w:val="0"/>
          <w:smallCaps w:val="0"/>
          <w:noProof w:val="0"/>
          <w:color w:val="4C5A73"/>
          <w:sz w:val="24"/>
          <w:szCs w:val="24"/>
          <w:lang w:val="en-GB"/>
        </w:rPr>
        <w:t>PR2</w:t>
      </w:r>
      <w:r>
        <w:br/>
      </w:r>
      <w:r>
        <w:br/>
      </w:r>
    </w:p>
    <w:p w:rsidR="74F8EA75" w:rsidP="705A5F2D" w:rsidRDefault="74F8EA75" w14:paraId="50F9E741" w14:textId="422BE7B0">
      <w:pPr>
        <w:pStyle w:val="Normal"/>
        <w:pBdr>
          <w:bottom w:val="single" w:color="000000" w:sz="6" w:space="1"/>
        </w:pBdr>
        <w:shd w:val="clear" w:color="auto" w:fill="FFFFFF" w:themeFill="background1"/>
        <w:spacing w:before="0" w:beforeAutospacing="off" w:after="240" w:afterAutospacing="off"/>
        <w:jc w:val="left"/>
        <w:rPr>
          <w:rFonts w:ascii="Aptos" w:hAnsi="Aptos" w:eastAsia="Aptos" w:cs="Aptos"/>
          <w:noProof w:val="0"/>
          <w:sz w:val="24"/>
          <w:szCs w:val="24"/>
          <w:lang w:val="en-GB"/>
        </w:rPr>
      </w:pPr>
      <w:r w:rsidRPr="705A5F2D" w:rsidR="74F8EA75">
        <w:rPr>
          <w:rFonts w:ascii="Aptos" w:hAnsi="Aptos" w:eastAsia="Aptos" w:cs="Aptos"/>
          <w:b w:val="0"/>
          <w:bCs w:val="0"/>
          <w:i w:val="0"/>
          <w:iCs w:val="0"/>
          <w:caps w:val="0"/>
          <w:smallCaps w:val="0"/>
          <w:noProof w:val="0"/>
          <w:color w:val="4C5A73"/>
          <w:sz w:val="24"/>
          <w:szCs w:val="24"/>
          <w:lang w:val="en-GB"/>
        </w:rPr>
        <w:t>Burca, you demonstrated a clear understanding of the relationship between critical thinking and Grice’s (1975) Cooperative Principle. One of the strengths of your post is your explanation of Halpern’s (1998) approach, especially where you discussed metacognitive monitoring, identifying assumptions and probability, and recognising bias. The use of Abrami et al. (2015) further strengthens your arguments by providing empirical research. I agree with your distinction between critical thinking and cooperative communication, as agencies can often advertise their campaign without giving transparent information.</w:t>
      </w:r>
      <w:r>
        <w:br/>
      </w:r>
      <w:r>
        <w:br/>
      </w:r>
      <w:r w:rsidRPr="705A5F2D" w:rsidR="74F8EA75">
        <w:rPr>
          <w:rFonts w:ascii="Aptos" w:hAnsi="Aptos" w:eastAsia="Aptos" w:cs="Aptos"/>
          <w:b w:val="0"/>
          <w:bCs w:val="0"/>
          <w:i w:val="0"/>
          <w:iCs w:val="0"/>
          <w:caps w:val="0"/>
          <w:smallCaps w:val="0"/>
          <w:noProof w:val="0"/>
          <w:color w:val="4C5A73"/>
          <w:sz w:val="24"/>
          <w:szCs w:val="24"/>
          <w:lang w:val="en-GB"/>
        </w:rPr>
        <w:t>To further strengthen your argument, you could discuss the effects of political microtargeting in greater detail. Zarouali et al, (2020) examined 280 individuals’ personalities and political microtargeting and found that they were more persuaded when they received a political ad tailored to them (Zarouali et al., 2020). This would provide empirical support for your argument that political advertisements can increase the level of persuasion if they tailor messages to individuals.</w:t>
      </w:r>
      <w:r>
        <w:br/>
      </w:r>
      <w:r>
        <w:br/>
      </w:r>
      <w:r w:rsidRPr="705A5F2D" w:rsidR="74F8EA75">
        <w:rPr>
          <w:rFonts w:ascii="Aptos" w:hAnsi="Aptos" w:eastAsia="Aptos" w:cs="Aptos"/>
          <w:b w:val="0"/>
          <w:bCs w:val="0"/>
          <w:i w:val="0"/>
          <w:iCs w:val="0"/>
          <w:caps w:val="0"/>
          <w:smallCaps w:val="0"/>
          <w:noProof w:val="0"/>
          <w:color w:val="4C5A73"/>
          <w:sz w:val="24"/>
          <w:szCs w:val="24"/>
          <w:lang w:val="en-GB"/>
        </w:rPr>
        <w:t>Furthermore, your argument about withholding information and violation of Grice’s maxims could be developed further by considering the concept of flouting. Chapman (2023) discussed the concept of flouting; this does not necessarily violate a maxim it just encourages the audience to infer an additional meaning which may not be obvious. A useful real-world example you could use is the Conservative Party’s 1978 ‘Labour isn’t working” poster (Lisa, 2016). This does not illustrate that Labour is responsible for employment decline and economic problems; however, it requires the audience to make that inference. This example demonstrates that, political advertising can communicate meanings which may not be literally written; this could be argued to go against some of Grice’s maxims.</w:t>
      </w:r>
      <w:r>
        <w:br/>
      </w:r>
      <w:r>
        <w:br/>
      </w:r>
      <w:r w:rsidRPr="705A5F2D" w:rsidR="74F8EA75">
        <w:rPr>
          <w:rFonts w:ascii="Aptos" w:hAnsi="Aptos" w:eastAsia="Aptos" w:cs="Aptos"/>
          <w:b w:val="0"/>
          <w:bCs w:val="0"/>
          <w:i w:val="0"/>
          <w:iCs w:val="0"/>
          <w:caps w:val="0"/>
          <w:smallCaps w:val="0"/>
          <w:noProof w:val="0"/>
          <w:color w:val="4C5A73"/>
          <w:sz w:val="24"/>
          <w:szCs w:val="24"/>
          <w:lang w:val="en-GB"/>
        </w:rPr>
        <w:t>Overall, I really enjoyed reading your post; you provided some excellent points and examples regarding political advertising whilst critically linking it to Halpern (1998) and Grice’s cooperative principle (1975). To strengthen your work, you could provide more relevant empirical research to help develop your evaluation of political advertising.</w:t>
      </w:r>
      <w:r>
        <w:br/>
      </w:r>
      <w:r>
        <w:br/>
      </w:r>
      <w:r w:rsidRPr="705A5F2D" w:rsidR="74F8EA75">
        <w:rPr>
          <w:rFonts w:ascii="Aptos" w:hAnsi="Aptos" w:eastAsia="Aptos" w:cs="Aptos"/>
          <w:b w:val="0"/>
          <w:bCs w:val="0"/>
          <w:i w:val="0"/>
          <w:iCs w:val="0"/>
          <w:caps w:val="0"/>
          <w:smallCaps w:val="0"/>
          <w:noProof w:val="0"/>
          <w:color w:val="4C5A73"/>
          <w:sz w:val="24"/>
          <w:szCs w:val="24"/>
          <w:lang w:val="en-GB"/>
        </w:rPr>
        <w:t>References</w:t>
      </w:r>
      <w:r>
        <w:br/>
      </w:r>
      <w:r w:rsidRPr="705A5F2D" w:rsidR="74F8EA75">
        <w:rPr>
          <w:rFonts w:ascii="Aptos" w:hAnsi="Aptos" w:eastAsia="Aptos" w:cs="Aptos"/>
          <w:b w:val="0"/>
          <w:bCs w:val="0"/>
          <w:i w:val="0"/>
          <w:iCs w:val="0"/>
          <w:caps w:val="0"/>
          <w:smallCaps w:val="0"/>
          <w:noProof w:val="0"/>
          <w:color w:val="4C5A73"/>
          <w:sz w:val="24"/>
          <w:szCs w:val="24"/>
          <w:lang w:val="en-GB"/>
        </w:rPr>
        <w:t>Chapman, S. (2023). ‘I don’t know how it is best to put this thing down’: Uncooperative narration in Ford Madox Ford’s The Good Soldier. Language and Literature, 32(4). https://doi.org/https://doi.org/10.1177/09639470231183042</w:t>
      </w:r>
      <w:r>
        <w:br/>
      </w:r>
      <w:r w:rsidRPr="705A5F2D" w:rsidR="74F8EA75">
        <w:rPr>
          <w:rFonts w:ascii="Aptos" w:hAnsi="Aptos" w:eastAsia="Aptos" w:cs="Aptos"/>
          <w:b w:val="0"/>
          <w:bCs w:val="0"/>
          <w:i w:val="0"/>
          <w:iCs w:val="0"/>
          <w:caps w:val="0"/>
          <w:smallCaps w:val="0"/>
          <w:noProof w:val="0"/>
          <w:color w:val="4C5A73"/>
          <w:sz w:val="24"/>
          <w:szCs w:val="24"/>
          <w:lang w:val="en-GB"/>
        </w:rPr>
        <w:t>Lisa. (2016). What makes a great political poster? . Liverpool.Ac.Uk. https://www.liverpool.ac.uk/politics/blog/2016/political-posters/</w:t>
      </w:r>
      <w:r>
        <w:br/>
      </w:r>
      <w:r w:rsidRPr="705A5F2D" w:rsidR="74F8EA75">
        <w:rPr>
          <w:rFonts w:ascii="Aptos" w:hAnsi="Aptos" w:eastAsia="Aptos" w:cs="Aptos"/>
          <w:b w:val="0"/>
          <w:bCs w:val="0"/>
          <w:i w:val="0"/>
          <w:iCs w:val="0"/>
          <w:caps w:val="0"/>
          <w:smallCaps w:val="0"/>
          <w:noProof w:val="0"/>
          <w:color w:val="4C5A73"/>
          <w:sz w:val="24"/>
          <w:szCs w:val="24"/>
          <w:lang w:val="en-GB"/>
        </w:rPr>
        <w:t>Zarouali, B., Dobber, T., De Pauw, G., &amp; de Vreese, C. (2020). Using a Personality-Profiling Algorithm to Investigate Political Microtargeting: Assessing the Persuasion Effects of Personality-Tailored Ads on Social Media. Communication Research, 49(8), 009365022096196. https://doi.org/https://doi.org/10.1177/0093650220961965</w:t>
      </w:r>
    </w:p>
    <w:p w:rsidR="705A5F2D" w:rsidP="705A5F2D" w:rsidRDefault="705A5F2D" w14:paraId="39EF1000" w14:textId="31AED358">
      <w:pPr>
        <w:pBdr>
          <w:bottom w:val="single" w:color="000000" w:sz="6" w:space="1"/>
        </w:pBdr>
      </w:pPr>
    </w:p>
    <w:p w:rsidR="705A5F2D" w:rsidP="705A5F2D" w:rsidRDefault="705A5F2D" w14:paraId="21F8B3F6" w14:textId="410EF197">
      <w:pPr>
        <w:pBdr>
          <w:bottom w:val="single" w:color="000000" w:sz="6" w:space="1"/>
        </w:pBdr>
      </w:pPr>
    </w:p>
    <w:p w:rsidR="705A5F2D" w:rsidP="705A5F2D" w:rsidRDefault="705A5F2D" w14:paraId="6FC82294" w14:textId="14D7B4BD">
      <w:pPr>
        <w:pBdr>
          <w:bottom w:val="single" w:color="000000" w:sz="6" w:space="1"/>
        </w:pBdr>
      </w:pPr>
    </w:p>
    <w:sectPr w:rsidR="00606F46">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2B272A"/>
    <w:rsid w:val="00606F46"/>
    <w:rsid w:val="00972A4C"/>
    <w:rsid w:val="23DB8C32"/>
    <w:rsid w:val="2B29C8C4"/>
    <w:rsid w:val="30166D55"/>
    <w:rsid w:val="34D5709B"/>
    <w:rsid w:val="51382818"/>
    <w:rsid w:val="5A47BF1F"/>
    <w:rsid w:val="60A3C8A0"/>
    <w:rsid w:val="6DBA1F8C"/>
    <w:rsid w:val="705A5F2D"/>
    <w:rsid w:val="712B272A"/>
    <w:rsid w:val="7399D67A"/>
    <w:rsid w:val="73EBAA9E"/>
    <w:rsid w:val="74F8EA75"/>
    <w:rsid w:val="770F11ED"/>
    <w:rsid w:val="78718F1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34A3C"/>
  <w15:chartTrackingRefBased/>
  <w15:docId w15:val="{7712FABE-663D-4FE4-827E-D6EADC1F2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3102/0034654308326084" TargetMode="External" Id="R9ff766fa83f34617" /><Relationship Type="http://schemas.openxmlformats.org/officeDocument/2006/relationships/hyperlink" Target="https://searchengineland.com/aimclears-psychographic-targeting-for-political-advertising-agencies-wins-237290" TargetMode="External" Id="R7a99ad48330a4966" /><Relationship Type="http://schemas.openxmlformats.org/officeDocument/2006/relationships/hyperlink" Target="https://doi.org/10.1037/0003-066x.53.4.449" TargetMode="External" Id="Re97acbc863924ad4" /><Relationship Type="http://schemas.openxmlformats.org/officeDocument/2006/relationships/hyperlink" Target="https://doi.org/https://doi.org/10.1093/jleo/ewae002" TargetMode="External" Id="R2867fb65b5924113" /><Relationship Type="http://schemas.openxmlformats.org/officeDocument/2006/relationships/hyperlink" Target="https://www.my-course.co.uk/user/view.php?id=24791&amp;course=15414" TargetMode="External" Id="R50178eaedd2d43c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4</revision>
  <dcterms:created xsi:type="dcterms:W3CDTF">2026-08-28T10:45:00.0000000Z</dcterms:created>
  <dcterms:modified xsi:type="dcterms:W3CDTF">2026-08-28T13:59:05.7486841Z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2026-08-28T10:45:25Z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938f6db1-866b-4497-859c-fa46211c2253</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