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07C1" w:rsidP="702FCA7F" w:rsidRDefault="003807C1" w14:paraId="0749C0C7" w14:textId="485DD55D">
      <w:pPr>
        <w:pStyle w:val="Normal"/>
        <w:shd w:val="clear" w:color="auto" w:fill="FFFFFF" w:themeFill="background1"/>
        <w:spacing w:before="0" w:beforeAutospacing="off" w:after="240" w:afterAutospacing="off"/>
        <w:jc w:val="left"/>
      </w:pPr>
      <w:hyperlink r:id="R091120d263ac4f91">
        <w:r w:rsidRPr="702FCA7F" w:rsidR="41DF002A">
          <w:rPr>
            <w:rStyle w:val="Hyperlink"/>
            <w:b w:val="0"/>
            <w:bCs w:val="0"/>
            <w:i w:val="0"/>
            <w:iCs w:val="0"/>
            <w:caps w:val="0"/>
            <w:smallCaps w:val="0"/>
            <w:strike w:val="0"/>
            <w:dstrike w:val="0"/>
            <w:noProof w:val="0"/>
            <w:color w:val="CD202C"/>
            <w:u w:val="single"/>
            <w:lang w:val="en-GB"/>
          </w:rPr>
          <w:t>Maria Villella</w:t>
        </w:r>
      </w:hyperlink>
      <w:r>
        <w:br/>
      </w:r>
      <w:r>
        <w:br/>
      </w:r>
      <w:r w:rsidR="1AF881DD">
        <w:rPr/>
        <w:t>Initial Post:</w:t>
      </w:r>
      <w:r>
        <w:br/>
      </w:r>
      <w:r>
        <w:br/>
      </w:r>
      <w:r w:rsidRPr="702FCA7F" w:rsidR="4FC15B6A">
        <w:rPr>
          <w:rFonts w:ascii="Aptos" w:hAnsi="Aptos" w:eastAsia="Aptos" w:cs="Aptos"/>
          <w:b w:val="0"/>
          <w:bCs w:val="0"/>
          <w:i w:val="0"/>
          <w:iCs w:val="0"/>
          <w:caps w:val="0"/>
          <w:smallCaps w:val="0"/>
          <w:noProof w:val="0"/>
          <w:color w:val="4C5A73"/>
          <w:sz w:val="24"/>
          <w:szCs w:val="24"/>
          <w:lang w:val="en-GB"/>
        </w:rPr>
        <w:t xml:space="preserve">Political communication involves more than simply providing information, as the way messages are framed and targeted can influence how they are understood by different audiences. The </w:t>
      </w:r>
      <w:r w:rsidRPr="702FCA7F" w:rsidR="4FC15B6A">
        <w:rPr>
          <w:rFonts w:ascii="Aptos" w:hAnsi="Aptos" w:eastAsia="Aptos" w:cs="Aptos"/>
          <w:b w:val="0"/>
          <w:bCs w:val="0"/>
          <w:i w:val="0"/>
          <w:iCs w:val="0"/>
          <w:caps w:val="0"/>
          <w:smallCaps w:val="0"/>
          <w:noProof w:val="0"/>
          <w:color w:val="4C5A73"/>
          <w:sz w:val="24"/>
          <w:szCs w:val="24"/>
          <w:lang w:val="en-GB"/>
        </w:rPr>
        <w:t>aimClear</w:t>
      </w:r>
      <w:r w:rsidRPr="702FCA7F" w:rsidR="4FC15B6A">
        <w:rPr>
          <w:rFonts w:ascii="Aptos" w:hAnsi="Aptos" w:eastAsia="Aptos" w:cs="Aptos"/>
          <w:b w:val="0"/>
          <w:bCs w:val="0"/>
          <w:i w:val="0"/>
          <w:iCs w:val="0"/>
          <w:caps w:val="0"/>
          <w:smallCaps w:val="0"/>
          <w:noProof w:val="0"/>
          <w:color w:val="4C5A73"/>
          <w:sz w:val="24"/>
          <w:szCs w:val="24"/>
          <w:lang w:val="en-GB"/>
        </w:rPr>
        <w:t xml:space="preserve"> (2015) article </w:t>
      </w:r>
      <w:r w:rsidRPr="702FCA7F" w:rsidR="4FC15B6A">
        <w:rPr>
          <w:rFonts w:ascii="Aptos" w:hAnsi="Aptos" w:eastAsia="Aptos" w:cs="Aptos"/>
          <w:b w:val="0"/>
          <w:bCs w:val="0"/>
          <w:i w:val="0"/>
          <w:iCs w:val="0"/>
          <w:caps w:val="0"/>
          <w:smallCaps w:val="0"/>
          <w:noProof w:val="0"/>
          <w:color w:val="4C5A73"/>
          <w:sz w:val="24"/>
          <w:szCs w:val="24"/>
          <w:lang w:val="en-GB"/>
        </w:rPr>
        <w:t>demonstrates</w:t>
      </w:r>
      <w:r w:rsidRPr="702FCA7F" w:rsidR="4FC15B6A">
        <w:rPr>
          <w:rFonts w:ascii="Aptos" w:hAnsi="Aptos" w:eastAsia="Aptos" w:cs="Aptos"/>
          <w:b w:val="0"/>
          <w:bCs w:val="0"/>
          <w:i w:val="0"/>
          <w:iCs w:val="0"/>
          <w:caps w:val="0"/>
          <w:smallCaps w:val="0"/>
          <w:noProof w:val="0"/>
          <w:color w:val="4C5A73"/>
          <w:sz w:val="24"/>
          <w:szCs w:val="24"/>
          <w:lang w:val="en-GB"/>
        </w:rPr>
        <w:t xml:space="preserve"> this through psychographic targeting, where information about voters’ interests, behaviours and characteristics is used to develop personalised political messages. Although this may increase persuasion, effectiveness alone does not mean that communication is cooperative. Grice’s (1975) Cooperative Principle </w:t>
      </w:r>
      <w:r w:rsidRPr="702FCA7F" w:rsidR="4FC15B6A">
        <w:rPr>
          <w:rFonts w:ascii="Aptos" w:hAnsi="Aptos" w:eastAsia="Aptos" w:cs="Aptos"/>
          <w:b w:val="0"/>
          <w:bCs w:val="0"/>
          <w:i w:val="0"/>
          <w:iCs w:val="0"/>
          <w:caps w:val="0"/>
          <w:smallCaps w:val="0"/>
          <w:noProof w:val="0"/>
          <w:color w:val="4C5A73"/>
          <w:sz w:val="24"/>
          <w:szCs w:val="24"/>
          <w:lang w:val="en-GB"/>
        </w:rPr>
        <w:t>provides</w:t>
      </w:r>
      <w:r w:rsidRPr="702FCA7F" w:rsidR="4FC15B6A">
        <w:rPr>
          <w:rFonts w:ascii="Aptos" w:hAnsi="Aptos" w:eastAsia="Aptos" w:cs="Aptos"/>
          <w:b w:val="0"/>
          <w:bCs w:val="0"/>
          <w:i w:val="0"/>
          <w:iCs w:val="0"/>
          <w:caps w:val="0"/>
          <w:smallCaps w:val="0"/>
          <w:noProof w:val="0"/>
          <w:color w:val="4C5A73"/>
          <w:sz w:val="24"/>
          <w:szCs w:val="24"/>
          <w:lang w:val="en-GB"/>
        </w:rPr>
        <w:t xml:space="preserve"> a useful way of examining this distinction. </w:t>
      </w:r>
    </w:p>
    <w:p w:rsidR="003807C1" w:rsidP="00EF2821" w:rsidRDefault="003807C1" w14:paraId="79659500" w14:textId="0E90AC7C">
      <w:pPr>
        <w:shd w:val="clear" w:color="auto" w:fill="FFFFFF" w:themeFill="background1"/>
        <w:spacing w:before="0" w:beforeAutospacing="off" w:after="240" w:afterAutospacing="off"/>
        <w:jc w:val="left"/>
      </w:pPr>
      <w:r w:rsidRPr="00EF2821" w:rsidR="70F1A914">
        <w:rPr>
          <w:rFonts w:ascii="Aptos" w:hAnsi="Aptos" w:eastAsia="Aptos" w:cs="Aptos"/>
          <w:b w:val="0"/>
          <w:bCs w:val="0"/>
          <w:i w:val="0"/>
          <w:iCs w:val="0"/>
          <w:caps w:val="0"/>
          <w:smallCaps w:val="0"/>
          <w:noProof w:val="0"/>
          <w:color w:val="4C5A73"/>
          <w:sz w:val="24"/>
          <w:szCs w:val="24"/>
          <w:lang w:val="en-GB"/>
        </w:rPr>
        <w:t xml:space="preserve">Grice proposed four maxims: quantity, quality, relation and manner. Psychographic targeting may challenge quantity when voters receive selected information rather than enough to evaluate an issue fully, while quality may also be affected because information does not need to be false to create a misleading impression, as selective framing can influence how evidence is interpreted. In contrast, targeting may satisfy relation by making messages relevant to some voters, although greater relevance does not necessarily result in more informative communication. Manner may also be challenged if persuasive framing makes the purpose or meaning of a message less clear. Matz et al. (2017) found that psychologically matched advertisements influenced clicks and purchases more effectively than unmatched messages, demonstrating the persuasive potential of psychological targeting, however, evidence that targeting works does not establish that it is cooperative or ethical. Importantly, it would also be too simple to assume that psychographic targeting is always manipulative. Aagaard and Marthedal (2023), reviewing 62 studies of political microtargeting and identified contrasting perspectives, ranging from hopes for voter mobilisation to concerns about manipulation. They therefore argue that its effects should be evaluated using empirical evidence rather than assumptions. This illustrates critical thinking itself: alternative explanations should be considered before reaching a conclusion. </w:t>
      </w:r>
    </w:p>
    <w:p w:rsidR="003807C1" w:rsidP="00EF2821" w:rsidRDefault="003807C1" w14:paraId="12C8DDA5" w14:textId="1342E7BE">
      <w:pPr>
        <w:shd w:val="clear" w:color="auto" w:fill="FFFFFF" w:themeFill="background1"/>
        <w:spacing w:before="0" w:beforeAutospacing="off" w:after="240" w:afterAutospacing="off"/>
        <w:jc w:val="left"/>
      </w:pPr>
      <w:r w:rsidRPr="00EF2821" w:rsidR="70F1A914">
        <w:rPr>
          <w:rFonts w:ascii="Aptos" w:hAnsi="Aptos" w:eastAsia="Aptos" w:cs="Aptos"/>
          <w:b w:val="0"/>
          <w:bCs w:val="0"/>
          <w:i w:val="0"/>
          <w:iCs w:val="0"/>
          <w:caps w:val="0"/>
          <w:smallCaps w:val="0"/>
          <w:noProof w:val="0"/>
          <w:color w:val="4C5A73"/>
          <w:sz w:val="24"/>
          <w:szCs w:val="24"/>
          <w:lang w:val="en-GB"/>
        </w:rPr>
        <w:t xml:space="preserve">Halpern’s approach provides a useful framework for how agencies could apply this reasoning. Critical thinking involves deliberately using reasoning skills to increase the likelihood of reaching an appropriate outcome (Halpern &amp; Dunn, 2023). Agencies could evaluate evidence, identify bias, question assumptions, test hypotheses and consider alternative explanations when developing campaigns. However, the idea of an appropriate outcome requires critical evaluation. For an agency, success may mean persuading voters rather than helping them make informed decisions. Therefore, strong critical thinking does not automatically produce responsible communication. Critical thinking is not a fixed ability but can be developed through appropriate training and practice. Halpern (1998) argues that this development requires more than learning individual skills, but it also involves the willingness to think critically, recognising when those skills are needed, applying them across different situations, and reflecting on one’s own reasoning. In practice, agencies could question assumptions behind voter profiles, compare predictions with campaign outcomes and reflect on errors. This would encourage staff to monitor their own reasoning rather than simply repeat strategies that appear successful. </w:t>
      </w:r>
    </w:p>
    <w:p w:rsidR="003807C1" w:rsidP="00EF2821" w:rsidRDefault="003807C1" w14:paraId="5416D89F" w14:textId="6919E653">
      <w:pPr>
        <w:shd w:val="clear" w:color="auto" w:fill="FFFFFF" w:themeFill="background1"/>
        <w:spacing w:before="0" w:beforeAutospacing="off" w:after="240" w:afterAutospacing="off"/>
        <w:jc w:val="left"/>
      </w:pPr>
      <w:r w:rsidRPr="00EF2821" w:rsidR="70F1A914">
        <w:rPr>
          <w:rFonts w:ascii="Aptos" w:hAnsi="Aptos" w:eastAsia="Aptos" w:cs="Aptos"/>
          <w:b w:val="0"/>
          <w:bCs w:val="0"/>
          <w:i w:val="0"/>
          <w:iCs w:val="0"/>
          <w:caps w:val="0"/>
          <w:smallCaps w:val="0"/>
          <w:noProof w:val="0"/>
          <w:color w:val="4C5A73"/>
          <w:sz w:val="24"/>
          <w:szCs w:val="24"/>
          <w:lang w:val="en-GB"/>
        </w:rPr>
        <w:t xml:space="preserve">Grice is therefore highly relevant to critical thinking in political advertising. While Halpern and Dunn’s (2023) framework helps agencies evaluate their reasoning, Grice’s principles assess whether the resulting communication is truthful, informative and clear. An agency may therefore think critically while still producing selective or misleading messages. </w:t>
      </w:r>
    </w:p>
    <w:p w:rsidR="003807C1" w:rsidP="00EF2821" w:rsidRDefault="003807C1" w14:paraId="30618905" w14:textId="53792BC7">
      <w:pPr>
        <w:shd w:val="clear" w:color="auto" w:fill="FFFFFF" w:themeFill="background1"/>
        <w:spacing w:before="0" w:beforeAutospacing="off" w:after="240" w:afterAutospacing="off"/>
        <w:jc w:val="left"/>
      </w:pPr>
      <w:r w:rsidRPr="00EF2821" w:rsidR="70F1A914">
        <w:rPr>
          <w:rFonts w:ascii="Aptos" w:hAnsi="Aptos" w:eastAsia="Aptos" w:cs="Aptos"/>
          <w:b w:val="0"/>
          <w:bCs w:val="0"/>
          <w:i w:val="0"/>
          <w:iCs w:val="0"/>
          <w:caps w:val="0"/>
          <w:smallCaps w:val="0"/>
          <w:noProof w:val="0"/>
          <w:color w:val="4C5A73"/>
          <w:sz w:val="24"/>
          <w:szCs w:val="24"/>
          <w:lang w:val="en-GB"/>
        </w:rPr>
        <w:t xml:space="preserve">In conclusion, psychographic targeting shows that effective persuasion should not be confused with cooperative communication. Grice’s principles can therefore help ensure that critical thinking supports not only effective campaigns, but also informed political decision making. </w:t>
      </w:r>
    </w:p>
    <w:p w:rsidR="003807C1" w:rsidP="00EF2821" w:rsidRDefault="003807C1" w14:paraId="1643A7DD" w14:textId="4FF7B007">
      <w:pPr>
        <w:shd w:val="clear" w:color="auto" w:fill="FFFFFF" w:themeFill="background1"/>
        <w:spacing w:before="0" w:beforeAutospacing="off" w:after="240" w:afterAutospacing="off"/>
        <w:jc w:val="left"/>
      </w:pPr>
      <w:r w:rsidRPr="00EF2821" w:rsidR="70F1A914">
        <w:rPr>
          <w:rFonts w:ascii="Aptos" w:hAnsi="Aptos" w:eastAsia="Aptos" w:cs="Aptos"/>
          <w:b w:val="0"/>
          <w:bCs w:val="0"/>
          <w:i w:val="0"/>
          <w:iCs w:val="0"/>
          <w:caps w:val="0"/>
          <w:smallCaps w:val="0"/>
          <w:noProof w:val="0"/>
          <w:color w:val="4C5A73"/>
          <w:sz w:val="24"/>
          <w:szCs w:val="24"/>
          <w:lang w:val="en-GB"/>
        </w:rPr>
        <w:t xml:space="preserve"> </w:t>
      </w:r>
    </w:p>
    <w:p w:rsidR="003807C1" w:rsidP="00EF2821" w:rsidRDefault="003807C1" w14:paraId="50C737AE" w14:textId="2454B111">
      <w:pPr>
        <w:shd w:val="clear" w:color="auto" w:fill="FFFFFF" w:themeFill="background1"/>
        <w:spacing w:before="0" w:beforeAutospacing="off" w:after="240" w:afterAutospacing="off"/>
        <w:jc w:val="left"/>
      </w:pPr>
      <w:r w:rsidRPr="00EF2821" w:rsidR="70F1A914">
        <w:rPr>
          <w:rFonts w:ascii="Aptos" w:hAnsi="Aptos" w:eastAsia="Aptos" w:cs="Aptos"/>
          <w:b w:val="0"/>
          <w:bCs w:val="0"/>
          <w:i w:val="0"/>
          <w:iCs w:val="0"/>
          <w:caps w:val="0"/>
          <w:smallCaps w:val="0"/>
          <w:noProof w:val="0"/>
          <w:color w:val="4C5A73"/>
          <w:sz w:val="24"/>
          <w:szCs w:val="24"/>
          <w:lang w:val="en-GB"/>
        </w:rPr>
        <w:t xml:space="preserve">References  </w:t>
      </w:r>
    </w:p>
    <w:p w:rsidR="003807C1" w:rsidP="00EF2821" w:rsidRDefault="003807C1" w14:paraId="45E6178F" w14:textId="2D3DAAA5">
      <w:pPr>
        <w:shd w:val="clear" w:color="auto" w:fill="FFFFFF" w:themeFill="background1"/>
        <w:spacing w:before="0" w:beforeAutospacing="off" w:after="240" w:afterAutospacing="off"/>
        <w:jc w:val="left"/>
      </w:pPr>
      <w:r w:rsidRPr="00EF2821" w:rsidR="70F1A914">
        <w:rPr>
          <w:rFonts w:ascii="Aptos" w:hAnsi="Aptos" w:eastAsia="Aptos" w:cs="Aptos"/>
          <w:b w:val="0"/>
          <w:bCs w:val="0"/>
          <w:i w:val="0"/>
          <w:iCs w:val="0"/>
          <w:caps w:val="0"/>
          <w:smallCaps w:val="0"/>
          <w:noProof w:val="0"/>
          <w:color w:val="4C5A73"/>
          <w:sz w:val="24"/>
          <w:szCs w:val="24"/>
          <w:lang w:val="en-GB"/>
        </w:rPr>
        <w:t xml:space="preserve">aimClear. (2015, December 3). </w:t>
      </w:r>
      <w:r w:rsidRPr="00EF2821" w:rsidR="70F1A914">
        <w:rPr>
          <w:rFonts w:ascii="Aptos" w:hAnsi="Aptos" w:eastAsia="Aptos" w:cs="Aptos"/>
          <w:b w:val="0"/>
          <w:bCs w:val="0"/>
          <w:i w:val="1"/>
          <w:iCs w:val="1"/>
          <w:caps w:val="0"/>
          <w:smallCaps w:val="0"/>
          <w:noProof w:val="0"/>
          <w:color w:val="4C5A73"/>
          <w:sz w:val="24"/>
          <w:szCs w:val="24"/>
          <w:lang w:val="en-GB"/>
        </w:rPr>
        <w:t>aimClear’s psychographic targeting for political advertising agencies’ WINS. Search Engine Land</w:t>
      </w:r>
      <w:r w:rsidRPr="00EF2821" w:rsidR="70F1A914">
        <w:rPr>
          <w:rFonts w:ascii="Aptos" w:hAnsi="Aptos" w:eastAsia="Aptos" w:cs="Aptos"/>
          <w:b w:val="0"/>
          <w:bCs w:val="0"/>
          <w:i w:val="0"/>
          <w:iCs w:val="0"/>
          <w:caps w:val="0"/>
          <w:smallCaps w:val="0"/>
          <w:noProof w:val="0"/>
          <w:color w:val="4C5A73"/>
          <w:sz w:val="24"/>
          <w:szCs w:val="24"/>
          <w:lang w:val="en-GB"/>
        </w:rPr>
        <w:t xml:space="preserve">. </w:t>
      </w:r>
      <w:hyperlink r:id="Re44c1769338f4816">
        <w:r w:rsidRPr="00EF2821" w:rsidR="70F1A914">
          <w:rPr>
            <w:rStyle w:val="Hyperlink"/>
            <w:b w:val="1"/>
            <w:bCs w:val="1"/>
            <w:i w:val="0"/>
            <w:iCs w:val="0"/>
            <w:caps w:val="0"/>
            <w:smallCaps w:val="0"/>
            <w:strike w:val="0"/>
            <w:dstrike w:val="0"/>
            <w:noProof w:val="0"/>
            <w:color w:val="622567"/>
            <w:u w:val="single"/>
            <w:lang w:val="en-GB"/>
          </w:rPr>
          <w:t>https://searchengineland.com/aimclears-psychographic-targeting-for-political-advertising-agencies-wins-237290</w:t>
        </w:r>
      </w:hyperlink>
      <w:r w:rsidRPr="00EF2821" w:rsidR="70F1A914">
        <w:rPr>
          <w:rFonts w:ascii="Aptos" w:hAnsi="Aptos" w:eastAsia="Aptos" w:cs="Aptos"/>
          <w:b w:val="0"/>
          <w:bCs w:val="0"/>
          <w:i w:val="0"/>
          <w:iCs w:val="0"/>
          <w:caps w:val="0"/>
          <w:smallCaps w:val="0"/>
          <w:noProof w:val="0"/>
          <w:color w:val="4C5A73"/>
          <w:sz w:val="24"/>
          <w:szCs w:val="24"/>
          <w:lang w:val="en-GB"/>
        </w:rPr>
        <w:t xml:space="preserve"> </w:t>
      </w:r>
    </w:p>
    <w:p w:rsidR="003807C1" w:rsidP="00EF2821" w:rsidRDefault="003807C1" w14:paraId="16230E42" w14:textId="3DBD0C96">
      <w:pPr>
        <w:shd w:val="clear" w:color="auto" w:fill="FFFFFF" w:themeFill="background1"/>
        <w:spacing w:before="0" w:beforeAutospacing="off" w:after="240" w:afterAutospacing="off"/>
        <w:jc w:val="left"/>
      </w:pPr>
      <w:r w:rsidRPr="00EF2821" w:rsidR="70F1A914">
        <w:rPr>
          <w:rFonts w:ascii="Aptos" w:hAnsi="Aptos" w:eastAsia="Aptos" w:cs="Aptos"/>
          <w:b w:val="0"/>
          <w:bCs w:val="0"/>
          <w:i w:val="0"/>
          <w:iCs w:val="0"/>
          <w:caps w:val="0"/>
          <w:smallCaps w:val="0"/>
          <w:noProof w:val="0"/>
          <w:color w:val="4C5A73"/>
          <w:sz w:val="24"/>
          <w:szCs w:val="24"/>
          <w:lang w:val="en-GB"/>
        </w:rPr>
        <w:t xml:space="preserve">Aagaard, P., &amp; Marthedal, S. (2023). Political microtargeting: Towards a pragmatic approach. </w:t>
      </w:r>
      <w:r w:rsidRPr="00EF2821" w:rsidR="70F1A914">
        <w:rPr>
          <w:rFonts w:ascii="Aptos" w:hAnsi="Aptos" w:eastAsia="Aptos" w:cs="Aptos"/>
          <w:b w:val="0"/>
          <w:bCs w:val="0"/>
          <w:i w:val="1"/>
          <w:iCs w:val="1"/>
          <w:caps w:val="0"/>
          <w:smallCaps w:val="0"/>
          <w:noProof w:val="0"/>
          <w:color w:val="4C5A73"/>
          <w:sz w:val="24"/>
          <w:szCs w:val="24"/>
          <w:lang w:val="en-GB"/>
        </w:rPr>
        <w:t xml:space="preserve">Internet Policy Review, </w:t>
      </w:r>
      <w:r w:rsidRPr="00EF2821" w:rsidR="70F1A914">
        <w:rPr>
          <w:rFonts w:ascii="Aptos" w:hAnsi="Aptos" w:eastAsia="Aptos" w:cs="Aptos"/>
          <w:b w:val="0"/>
          <w:bCs w:val="0"/>
          <w:i w:val="0"/>
          <w:iCs w:val="0"/>
          <w:caps w:val="0"/>
          <w:smallCaps w:val="0"/>
          <w:noProof w:val="0"/>
          <w:color w:val="4C5A73"/>
          <w:sz w:val="24"/>
          <w:szCs w:val="24"/>
          <w:lang w:val="en-GB"/>
        </w:rPr>
        <w:t xml:space="preserve">12(1). </w:t>
      </w:r>
      <w:hyperlink r:id="Re7882b9132ad4b6f">
        <w:r w:rsidRPr="00EF2821" w:rsidR="70F1A914">
          <w:rPr>
            <w:rStyle w:val="Hyperlink"/>
            <w:b w:val="1"/>
            <w:bCs w:val="1"/>
            <w:i w:val="0"/>
            <w:iCs w:val="0"/>
            <w:caps w:val="0"/>
            <w:smallCaps w:val="0"/>
            <w:strike w:val="0"/>
            <w:dstrike w:val="0"/>
            <w:noProof w:val="0"/>
            <w:color w:val="622567"/>
            <w:u w:val="single"/>
            <w:lang w:val="en-GB"/>
          </w:rPr>
          <w:t>https://doi.org/10.14763/2023.1.1690</w:t>
        </w:r>
      </w:hyperlink>
      <w:r w:rsidRPr="00EF2821" w:rsidR="70F1A914">
        <w:rPr>
          <w:rFonts w:ascii="Aptos" w:hAnsi="Aptos" w:eastAsia="Aptos" w:cs="Aptos"/>
          <w:b w:val="0"/>
          <w:bCs w:val="0"/>
          <w:i w:val="0"/>
          <w:iCs w:val="0"/>
          <w:caps w:val="0"/>
          <w:smallCaps w:val="0"/>
          <w:noProof w:val="0"/>
          <w:color w:val="4C5A73"/>
          <w:sz w:val="24"/>
          <w:szCs w:val="24"/>
          <w:lang w:val="en-GB"/>
        </w:rPr>
        <w:t xml:space="preserve"> </w:t>
      </w:r>
      <w:r w:rsidRPr="00EF2821" w:rsidR="70F1A914">
        <w:rPr>
          <w:rFonts w:ascii="Aptos" w:hAnsi="Aptos" w:eastAsia="Aptos" w:cs="Aptos"/>
          <w:b w:val="0"/>
          <w:bCs w:val="0"/>
          <w:i w:val="0"/>
          <w:iCs w:val="0"/>
          <w:caps w:val="0"/>
          <w:smallCaps w:val="0"/>
          <w:noProof w:val="0"/>
          <w:color w:val="4C5A73"/>
          <w:sz w:val="24"/>
          <w:szCs w:val="24"/>
          <w:lang w:val="en-GB"/>
        </w:rPr>
        <w:t xml:space="preserve"> </w:t>
      </w:r>
    </w:p>
    <w:p w:rsidR="003807C1" w:rsidP="00EF2821" w:rsidRDefault="003807C1" w14:paraId="281ED7E2" w14:textId="351AF86C">
      <w:pPr>
        <w:shd w:val="clear" w:color="auto" w:fill="FFFFFF" w:themeFill="background1"/>
        <w:spacing w:before="0" w:beforeAutospacing="off" w:after="240" w:afterAutospacing="off"/>
        <w:jc w:val="left"/>
      </w:pPr>
      <w:r w:rsidRPr="00EF2821" w:rsidR="70F1A914">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00EF2821" w:rsidR="70F1A914">
        <w:rPr>
          <w:rFonts w:ascii="Aptos" w:hAnsi="Aptos" w:eastAsia="Aptos" w:cs="Aptos"/>
          <w:b w:val="0"/>
          <w:bCs w:val="0"/>
          <w:i w:val="1"/>
          <w:iCs w:val="1"/>
          <w:caps w:val="0"/>
          <w:smallCaps w:val="0"/>
          <w:noProof w:val="0"/>
          <w:color w:val="4C5A73"/>
          <w:sz w:val="24"/>
          <w:szCs w:val="24"/>
          <w:lang w:val="en-GB"/>
        </w:rPr>
        <w:t>Syntax and semantics: Vol. 3. Speech acts</w:t>
      </w:r>
      <w:r w:rsidRPr="00EF2821" w:rsidR="70F1A914">
        <w:rPr>
          <w:rFonts w:ascii="Aptos" w:hAnsi="Aptos" w:eastAsia="Aptos" w:cs="Aptos"/>
          <w:b w:val="0"/>
          <w:bCs w:val="0"/>
          <w:i w:val="0"/>
          <w:iCs w:val="0"/>
          <w:caps w:val="0"/>
          <w:smallCaps w:val="0"/>
          <w:noProof w:val="0"/>
          <w:color w:val="4C5A73"/>
          <w:sz w:val="24"/>
          <w:szCs w:val="24"/>
          <w:lang w:val="en-GB"/>
        </w:rPr>
        <w:t xml:space="preserve">(pp. 41–58). Academic Press. </w:t>
      </w:r>
    </w:p>
    <w:p w:rsidR="003807C1" w:rsidP="00EF2821" w:rsidRDefault="003807C1" w14:paraId="59F026A2" w14:textId="5DD96478">
      <w:pPr>
        <w:shd w:val="clear" w:color="auto" w:fill="FFFFFF" w:themeFill="background1"/>
        <w:spacing w:before="0" w:beforeAutospacing="off" w:after="240" w:afterAutospacing="off"/>
        <w:jc w:val="left"/>
      </w:pPr>
      <w:r w:rsidRPr="00EF2821" w:rsidR="70F1A914">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Dispositions, skills, structure training, and metacognitive monitoring. </w:t>
      </w:r>
      <w:r w:rsidRPr="00EF2821" w:rsidR="70F1A914">
        <w:rPr>
          <w:rFonts w:ascii="Aptos" w:hAnsi="Aptos" w:eastAsia="Aptos" w:cs="Aptos"/>
          <w:b w:val="0"/>
          <w:bCs w:val="0"/>
          <w:i w:val="1"/>
          <w:iCs w:val="1"/>
          <w:caps w:val="0"/>
          <w:smallCaps w:val="0"/>
          <w:noProof w:val="0"/>
          <w:color w:val="4C5A73"/>
          <w:sz w:val="24"/>
          <w:szCs w:val="24"/>
          <w:lang w:val="en-GB"/>
        </w:rPr>
        <w:t>American Psychologist,</w:t>
      </w:r>
      <w:r w:rsidRPr="00EF2821" w:rsidR="70F1A914">
        <w:rPr>
          <w:rFonts w:ascii="Aptos" w:hAnsi="Aptos" w:eastAsia="Aptos" w:cs="Aptos"/>
          <w:b w:val="0"/>
          <w:bCs w:val="0"/>
          <w:i w:val="0"/>
          <w:iCs w:val="0"/>
          <w:caps w:val="0"/>
          <w:smallCaps w:val="0"/>
          <w:noProof w:val="0"/>
          <w:color w:val="4C5A73"/>
          <w:sz w:val="24"/>
          <w:szCs w:val="24"/>
          <w:lang w:val="en-GB"/>
        </w:rPr>
        <w:t xml:space="preserve"> 53(4), 449–455. </w:t>
      </w:r>
      <w:hyperlink r:id="R7ee5e70a24ce4845">
        <w:r w:rsidRPr="00EF2821" w:rsidR="70F1A914">
          <w:rPr>
            <w:rStyle w:val="Hyperlink"/>
            <w:b w:val="1"/>
            <w:bCs w:val="1"/>
            <w:i w:val="0"/>
            <w:iCs w:val="0"/>
            <w:caps w:val="0"/>
            <w:smallCaps w:val="0"/>
            <w:strike w:val="0"/>
            <w:dstrike w:val="0"/>
            <w:noProof w:val="0"/>
            <w:color w:val="622567"/>
            <w:u w:val="single"/>
            <w:lang w:val="en-GB"/>
          </w:rPr>
          <w:t>https://doi.org/10.1037/0003-066X.53.4.449</w:t>
        </w:r>
      </w:hyperlink>
      <w:r w:rsidRPr="00EF2821" w:rsidR="70F1A914">
        <w:rPr>
          <w:rFonts w:ascii="Aptos" w:hAnsi="Aptos" w:eastAsia="Aptos" w:cs="Aptos"/>
          <w:b w:val="0"/>
          <w:bCs w:val="0"/>
          <w:i w:val="0"/>
          <w:iCs w:val="0"/>
          <w:caps w:val="0"/>
          <w:smallCaps w:val="0"/>
          <w:noProof w:val="0"/>
          <w:color w:val="4C5A73"/>
          <w:sz w:val="24"/>
          <w:szCs w:val="24"/>
          <w:lang w:val="en-GB"/>
        </w:rPr>
        <w:t xml:space="preserve"> </w:t>
      </w:r>
    </w:p>
    <w:p w:rsidR="003807C1" w:rsidP="00EF2821" w:rsidRDefault="003807C1" w14:paraId="4E88730B" w14:textId="7D4EBB14">
      <w:pPr>
        <w:shd w:val="clear" w:color="auto" w:fill="FFFFFF" w:themeFill="background1"/>
        <w:spacing w:before="0" w:beforeAutospacing="off" w:after="240" w:afterAutospacing="off"/>
        <w:jc w:val="left"/>
      </w:pPr>
      <w:r w:rsidRPr="00EF2821" w:rsidR="70F1A914">
        <w:rPr>
          <w:rFonts w:ascii="Aptos" w:hAnsi="Aptos" w:eastAsia="Aptos" w:cs="Aptos"/>
          <w:b w:val="0"/>
          <w:bCs w:val="0"/>
          <w:i w:val="0"/>
          <w:iCs w:val="0"/>
          <w:caps w:val="0"/>
          <w:smallCaps w:val="0"/>
          <w:noProof w:val="0"/>
          <w:color w:val="4C5A73"/>
          <w:sz w:val="24"/>
          <w:szCs w:val="24"/>
          <w:lang w:val="en-GB"/>
        </w:rPr>
        <w:t xml:space="preserve">Halpern, D. F., &amp; Dunn, D. S. (2023). </w:t>
      </w:r>
      <w:r w:rsidRPr="00EF2821" w:rsidR="70F1A914">
        <w:rPr>
          <w:rFonts w:ascii="Aptos" w:hAnsi="Aptos" w:eastAsia="Aptos" w:cs="Aptos"/>
          <w:b w:val="0"/>
          <w:bCs w:val="0"/>
          <w:i w:val="1"/>
          <w:iCs w:val="1"/>
          <w:caps w:val="0"/>
          <w:smallCaps w:val="0"/>
          <w:noProof w:val="0"/>
          <w:color w:val="4C5A73"/>
          <w:sz w:val="24"/>
          <w:szCs w:val="24"/>
          <w:lang w:val="en-GB"/>
        </w:rPr>
        <w:t xml:space="preserve">Thought and knowledge: An introduction to critical thinking </w:t>
      </w:r>
      <w:r w:rsidRPr="00EF2821" w:rsidR="70F1A914">
        <w:rPr>
          <w:rFonts w:ascii="Aptos" w:hAnsi="Aptos" w:eastAsia="Aptos" w:cs="Aptos"/>
          <w:b w:val="0"/>
          <w:bCs w:val="0"/>
          <w:i w:val="0"/>
          <w:iCs w:val="0"/>
          <w:caps w:val="0"/>
          <w:smallCaps w:val="0"/>
          <w:noProof w:val="0"/>
          <w:color w:val="4C5A73"/>
          <w:sz w:val="24"/>
          <w:szCs w:val="24"/>
          <w:lang w:val="en-GB"/>
        </w:rPr>
        <w:t xml:space="preserve">(6th ed.). Psychology Press. </w:t>
      </w:r>
    </w:p>
    <w:p w:rsidR="003807C1" w:rsidP="00EF2821" w:rsidRDefault="003807C1" w14:paraId="0454F355" w14:textId="1388B0AE">
      <w:pPr>
        <w:shd w:val="clear" w:color="auto" w:fill="FFFFFF" w:themeFill="background1"/>
        <w:spacing w:before="0" w:beforeAutospacing="off" w:after="240" w:afterAutospacing="off"/>
        <w:jc w:val="left"/>
        <w:rPr>
          <w:rFonts w:ascii="Aptos" w:hAnsi="Aptos" w:eastAsia="Aptos" w:cs="Aptos"/>
          <w:b w:val="0"/>
          <w:bCs w:val="0"/>
          <w:i w:val="0"/>
          <w:iCs w:val="0"/>
          <w:caps w:val="0"/>
          <w:smallCaps w:val="0"/>
          <w:noProof w:val="0"/>
          <w:color w:val="4C5A73"/>
          <w:sz w:val="24"/>
          <w:szCs w:val="24"/>
          <w:lang w:val="en-GB"/>
        </w:rPr>
      </w:pPr>
      <w:r w:rsidRPr="00EF2821" w:rsidR="70F1A914">
        <w:rPr>
          <w:rFonts w:ascii="Aptos" w:hAnsi="Aptos" w:eastAsia="Aptos" w:cs="Aptos"/>
          <w:b w:val="0"/>
          <w:bCs w:val="0"/>
          <w:i w:val="0"/>
          <w:iCs w:val="0"/>
          <w:caps w:val="0"/>
          <w:smallCaps w:val="0"/>
          <w:noProof w:val="0"/>
          <w:color w:val="4C5A73"/>
          <w:sz w:val="24"/>
          <w:szCs w:val="24"/>
          <w:lang w:val="en-GB"/>
        </w:rPr>
        <w:t xml:space="preserve">Matz, S. C., Kosinski, M., Nave, G., &amp; Stillwell, D. J. (2017). </w:t>
      </w:r>
      <w:r w:rsidRPr="00EF2821" w:rsidR="70F1A914">
        <w:rPr>
          <w:rFonts w:ascii="Aptos" w:hAnsi="Aptos" w:eastAsia="Aptos" w:cs="Aptos"/>
          <w:b w:val="0"/>
          <w:bCs w:val="0"/>
          <w:i w:val="1"/>
          <w:iCs w:val="1"/>
          <w:caps w:val="0"/>
          <w:smallCaps w:val="0"/>
          <w:noProof w:val="0"/>
          <w:color w:val="4C5A73"/>
          <w:sz w:val="24"/>
          <w:szCs w:val="24"/>
          <w:lang w:val="en-GB"/>
        </w:rPr>
        <w:t>Psychological targeting as an effective approach to digital mass persuasion. Proceedings of the National Academy of Sciences of the United States of America</w:t>
      </w:r>
      <w:r w:rsidRPr="00EF2821" w:rsidR="70F1A914">
        <w:rPr>
          <w:rFonts w:ascii="Aptos" w:hAnsi="Aptos" w:eastAsia="Aptos" w:cs="Aptos"/>
          <w:b w:val="0"/>
          <w:bCs w:val="0"/>
          <w:i w:val="0"/>
          <w:iCs w:val="0"/>
          <w:caps w:val="0"/>
          <w:smallCaps w:val="0"/>
          <w:noProof w:val="0"/>
          <w:color w:val="4C5A73"/>
          <w:sz w:val="24"/>
          <w:szCs w:val="24"/>
          <w:lang w:val="en-GB"/>
        </w:rPr>
        <w:t xml:space="preserve">, 114(48), 12714–12719. </w:t>
      </w:r>
      <w:hyperlink r:id="Rd62c43ad27554eee">
        <w:r w:rsidRPr="00EF2821" w:rsidR="70F1A914">
          <w:rPr>
            <w:rStyle w:val="Hyperlink"/>
            <w:b w:val="1"/>
            <w:bCs w:val="1"/>
            <w:i w:val="0"/>
            <w:iCs w:val="0"/>
            <w:caps w:val="0"/>
            <w:smallCaps w:val="0"/>
            <w:strike w:val="0"/>
            <w:dstrike w:val="0"/>
            <w:noProof w:val="0"/>
            <w:color w:val="622567"/>
            <w:u w:val="single"/>
            <w:lang w:val="en-GB"/>
          </w:rPr>
          <w:t>https://doi.org/10.1073/pnas.1710966114</w:t>
        </w:r>
      </w:hyperlink>
    </w:p>
    <w:p w:rsidR="003807C1" w:rsidP="00EF2821" w:rsidRDefault="003807C1" w14:paraId="5E5787A5" w14:textId="4D88BC15">
      <w:pPr>
        <w:pStyle w:val="Normal"/>
      </w:pPr>
      <w:r w:rsidR="70F1A914">
        <w:rPr/>
        <w:t>--</w:t>
      </w:r>
      <w:r>
        <w:br/>
      </w:r>
      <w:r>
        <w:br/>
      </w:r>
      <w:r w:rsidRPr="00EF2821" w:rsidR="5DA14051">
        <w:rPr>
          <w:rFonts w:ascii="Aptos" w:hAnsi="Aptos" w:eastAsia="Aptos" w:cs="Aptos"/>
          <w:b w:val="1"/>
          <w:bCs w:val="1"/>
          <w:i w:val="0"/>
          <w:iCs w:val="0"/>
          <w:caps w:val="0"/>
          <w:smallCaps w:val="0"/>
          <w:noProof w:val="0"/>
          <w:color w:val="4C5A73"/>
          <w:sz w:val="24"/>
          <w:szCs w:val="24"/>
          <w:lang w:val="en-GB"/>
        </w:rPr>
        <w:t>Peer Response 1</w:t>
      </w:r>
      <w:r>
        <w:br/>
      </w:r>
      <w:r>
        <w:br/>
      </w:r>
      <w:r>
        <w:br/>
      </w:r>
      <w:r w:rsidRPr="00EF2821" w:rsidR="5DA14051">
        <w:rPr>
          <w:rFonts w:ascii="Aptos" w:hAnsi="Aptos" w:eastAsia="Aptos" w:cs="Aptos"/>
          <w:b w:val="0"/>
          <w:bCs w:val="0"/>
          <w:i w:val="0"/>
          <w:iCs w:val="0"/>
          <w:caps w:val="0"/>
          <w:smallCaps w:val="0"/>
          <w:noProof w:val="0"/>
          <w:color w:val="4C5A73"/>
          <w:sz w:val="24"/>
          <w:szCs w:val="24"/>
          <w:lang w:val="en-GB"/>
        </w:rPr>
        <w:t>Hi Meseret,</w:t>
      </w:r>
      <w:r>
        <w:br/>
      </w:r>
      <w:r>
        <w:br/>
      </w:r>
      <w:r w:rsidRPr="00EF2821" w:rsidR="5DA14051">
        <w:rPr>
          <w:rFonts w:ascii="Aptos" w:hAnsi="Aptos" w:eastAsia="Aptos" w:cs="Aptos"/>
          <w:b w:val="0"/>
          <w:bCs w:val="0"/>
          <w:i w:val="0"/>
          <w:iCs w:val="0"/>
          <w:caps w:val="0"/>
          <w:smallCaps w:val="0"/>
          <w:noProof w:val="0"/>
          <w:color w:val="4C5A73"/>
          <w:sz w:val="24"/>
          <w:szCs w:val="24"/>
          <w:lang w:val="en-GB"/>
        </w:rPr>
        <w:t>Thank you for your post. I found your discussion of critical thinking particularly interesting, especially your suggestion that agencies should examine the assumptions behind psychological profiles and reflect on whether their decisions are supported by evidence. This is a strength of your argument because it considers not only how political messages are created, but also the reasoning behind them. However, I think the distinction between evidence-based decision making and persuasion could be explored further, as these are not necessarily competing aims.</w:t>
      </w:r>
      <w:r>
        <w:br/>
      </w:r>
      <w:r>
        <w:br/>
      </w:r>
      <w:r w:rsidRPr="00EF2821" w:rsidR="5DA14051">
        <w:rPr>
          <w:rFonts w:ascii="Aptos" w:hAnsi="Aptos" w:eastAsia="Aptos" w:cs="Aptos"/>
          <w:b w:val="0"/>
          <w:bCs w:val="0"/>
          <w:i w:val="0"/>
          <w:iCs w:val="0"/>
          <w:caps w:val="0"/>
          <w:smallCaps w:val="0"/>
          <w:noProof w:val="0"/>
          <w:color w:val="4C5A73"/>
          <w:sz w:val="24"/>
          <w:szCs w:val="24"/>
          <w:lang w:val="en-GB"/>
        </w:rPr>
        <w:t>Agencies could evaluate evidence, test assumptions and analyse campaign outcomes specifically to make their messages more persuasive. Matz et al. (2017) found that psychologically matched advertisements were more effective in influencing clicks and purchases than unmatched or unpersonalised advertisements. This demonstrates how psychological evidence can be used to increase persuasive effectiveness. However, as the study examined consumer behaviour rather than voting, its findings should not automatically be generalised to political decision making.</w:t>
      </w:r>
      <w:r>
        <w:br/>
      </w:r>
      <w:r>
        <w:br/>
      </w:r>
      <w:r w:rsidRPr="00EF2821" w:rsidR="5DA14051">
        <w:rPr>
          <w:rFonts w:ascii="Aptos" w:hAnsi="Aptos" w:eastAsia="Aptos" w:cs="Aptos"/>
          <w:b w:val="0"/>
          <w:bCs w:val="0"/>
          <w:i w:val="0"/>
          <w:iCs w:val="0"/>
          <w:caps w:val="0"/>
          <w:smallCaps w:val="0"/>
          <w:noProof w:val="0"/>
          <w:color w:val="4C5A73"/>
          <w:sz w:val="24"/>
          <w:szCs w:val="24"/>
          <w:lang w:val="en-GB"/>
        </w:rPr>
        <w:t>Your discussion of Grice’s maxim of relation also raises an interesting distinction. Although personalised targeting may increase the relevance of a message to an individual voter (Grice, 1975), personal relevance does not necessarily mean that the information helps the voter evaluate the political issue itself. Personal relevance and informational relevance may therefore not always be equivalent.</w:t>
      </w:r>
      <w:r>
        <w:br/>
      </w:r>
      <w:r>
        <w:br/>
      </w:r>
      <w:r w:rsidRPr="00EF2821" w:rsidR="5DA14051">
        <w:rPr>
          <w:rFonts w:ascii="Aptos" w:hAnsi="Aptos" w:eastAsia="Aptos" w:cs="Aptos"/>
          <w:b w:val="0"/>
          <w:bCs w:val="0"/>
          <w:i w:val="0"/>
          <w:iCs w:val="0"/>
          <w:caps w:val="0"/>
          <w:smallCaps w:val="0"/>
          <w:noProof w:val="0"/>
          <w:color w:val="4C5A73"/>
          <w:sz w:val="24"/>
          <w:szCs w:val="24"/>
          <w:lang w:val="en-GB"/>
        </w:rPr>
        <w:t>This complexity is also reflected by Zuiderveen Borgesius et al. (2018), who identify potential benefits of political microtargeting, such as better matching campaigns with voters’ concerns and increasing political engagement, alongside risks involving privacy and political parties presenting themselves differently to different voters.</w:t>
      </w:r>
      <w:r>
        <w:br/>
      </w:r>
      <w:r>
        <w:br/>
      </w:r>
      <w:r w:rsidRPr="00EF2821" w:rsidR="5DA14051">
        <w:rPr>
          <w:rFonts w:ascii="Aptos" w:hAnsi="Aptos" w:eastAsia="Aptos" w:cs="Aptos"/>
          <w:b w:val="0"/>
          <w:bCs w:val="0"/>
          <w:i w:val="0"/>
          <w:iCs w:val="0"/>
          <w:caps w:val="0"/>
          <w:smallCaps w:val="0"/>
          <w:noProof w:val="0"/>
          <w:color w:val="4C5A73"/>
          <w:sz w:val="24"/>
          <w:szCs w:val="24"/>
          <w:lang w:val="en-GB"/>
        </w:rPr>
        <w:t>Overall, your post provides a strong account of how critical thinking can contribute to political advertising. I would add that agencies should evaluate not only the evidence supporting their strategies, but also the goals that evidence serves and the possible consequences for voters.</w:t>
      </w:r>
      <w:r>
        <w:br/>
      </w:r>
      <w:r>
        <w:br/>
      </w:r>
      <w:r>
        <w:br/>
      </w:r>
      <w:r w:rsidRPr="00EF2821" w:rsidR="5DA14051">
        <w:rPr>
          <w:rFonts w:ascii="Aptos" w:hAnsi="Aptos" w:eastAsia="Aptos" w:cs="Aptos"/>
          <w:b w:val="1"/>
          <w:bCs w:val="1"/>
          <w:i w:val="0"/>
          <w:iCs w:val="0"/>
          <w:caps w:val="0"/>
          <w:smallCaps w:val="0"/>
          <w:noProof w:val="0"/>
          <w:color w:val="4C5A73"/>
          <w:sz w:val="24"/>
          <w:szCs w:val="24"/>
          <w:lang w:val="en-GB"/>
        </w:rPr>
        <w:t>References</w:t>
      </w:r>
      <w:r>
        <w:br/>
      </w:r>
      <w:r>
        <w:br/>
      </w:r>
      <w:r w:rsidRPr="00EF2821" w:rsidR="5DA14051">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00EF2821" w:rsidR="5DA14051">
        <w:rPr>
          <w:rFonts w:ascii="Aptos" w:hAnsi="Aptos" w:eastAsia="Aptos" w:cs="Aptos"/>
          <w:b w:val="0"/>
          <w:bCs w:val="0"/>
          <w:i w:val="1"/>
          <w:iCs w:val="1"/>
          <w:caps w:val="0"/>
          <w:smallCaps w:val="0"/>
          <w:noProof w:val="0"/>
          <w:color w:val="4C5A73"/>
          <w:sz w:val="24"/>
          <w:szCs w:val="24"/>
          <w:lang w:val="en-GB"/>
        </w:rPr>
        <w:t>Syntax and semantics: Vol. 3. Speech acts</w:t>
      </w:r>
      <w:r w:rsidRPr="00EF2821" w:rsidR="5DA14051">
        <w:rPr>
          <w:rFonts w:ascii="Aptos" w:hAnsi="Aptos" w:eastAsia="Aptos" w:cs="Aptos"/>
          <w:b w:val="0"/>
          <w:bCs w:val="0"/>
          <w:i w:val="0"/>
          <w:iCs w:val="0"/>
          <w:caps w:val="0"/>
          <w:smallCaps w:val="0"/>
          <w:noProof w:val="0"/>
          <w:color w:val="4C5A73"/>
          <w:sz w:val="24"/>
          <w:szCs w:val="24"/>
          <w:lang w:val="en-GB"/>
        </w:rPr>
        <w:t xml:space="preserve"> (pp. 41–58). Academic Press.</w:t>
      </w:r>
      <w:r>
        <w:br/>
      </w:r>
      <w:r>
        <w:br/>
      </w:r>
      <w:r w:rsidRPr="00EF2821" w:rsidR="5DA14051">
        <w:rPr>
          <w:rFonts w:ascii="Aptos" w:hAnsi="Aptos" w:eastAsia="Aptos" w:cs="Aptos"/>
          <w:b w:val="0"/>
          <w:bCs w:val="0"/>
          <w:i w:val="0"/>
          <w:iCs w:val="0"/>
          <w:caps w:val="0"/>
          <w:smallCaps w:val="0"/>
          <w:noProof w:val="0"/>
          <w:color w:val="4C5A73"/>
          <w:sz w:val="24"/>
          <w:szCs w:val="24"/>
          <w:lang w:val="en-GB"/>
        </w:rPr>
        <w:t xml:space="preserve">Matz, S. C., Kosinski, M., Nave, G., &amp; Stillwell, D. J. (2017). Psychological targeting as an effective approach to digital mass persuasion. </w:t>
      </w:r>
      <w:r w:rsidRPr="00EF2821" w:rsidR="5DA14051">
        <w:rPr>
          <w:rFonts w:ascii="Aptos" w:hAnsi="Aptos" w:eastAsia="Aptos" w:cs="Aptos"/>
          <w:b w:val="0"/>
          <w:bCs w:val="0"/>
          <w:i w:val="1"/>
          <w:iCs w:val="1"/>
          <w:caps w:val="0"/>
          <w:smallCaps w:val="0"/>
          <w:noProof w:val="0"/>
          <w:color w:val="4C5A73"/>
          <w:sz w:val="24"/>
          <w:szCs w:val="24"/>
          <w:lang w:val="en-GB"/>
        </w:rPr>
        <w:t>Proceedings of the National Academy of Sciences of the United States of America,</w:t>
      </w:r>
      <w:r w:rsidRPr="00EF2821" w:rsidR="5DA14051">
        <w:rPr>
          <w:rFonts w:ascii="Aptos" w:hAnsi="Aptos" w:eastAsia="Aptos" w:cs="Aptos"/>
          <w:b w:val="0"/>
          <w:bCs w:val="0"/>
          <w:i w:val="0"/>
          <w:iCs w:val="0"/>
          <w:caps w:val="0"/>
          <w:smallCaps w:val="0"/>
          <w:noProof w:val="0"/>
          <w:color w:val="4C5A73"/>
          <w:sz w:val="24"/>
          <w:szCs w:val="24"/>
          <w:lang w:val="en-GB"/>
        </w:rPr>
        <w:t xml:space="preserve"> 114(48), 12714–12719. https://doi.org/10.1073/pnas.1710966114</w:t>
      </w:r>
      <w:r>
        <w:br/>
      </w:r>
      <w:r>
        <w:br/>
      </w:r>
      <w:r w:rsidRPr="00EF2821" w:rsidR="5DA14051">
        <w:rPr>
          <w:rFonts w:ascii="Aptos" w:hAnsi="Aptos" w:eastAsia="Aptos" w:cs="Aptos"/>
          <w:b w:val="0"/>
          <w:bCs w:val="0"/>
          <w:i w:val="0"/>
          <w:iCs w:val="0"/>
          <w:caps w:val="0"/>
          <w:smallCaps w:val="0"/>
          <w:noProof w:val="0"/>
          <w:color w:val="4C5A73"/>
          <w:sz w:val="24"/>
          <w:szCs w:val="24"/>
          <w:lang w:val="en-GB"/>
        </w:rPr>
        <w:t xml:space="preserve">Zuiderveen Borgesius, F. J., Möller, J., Kruikemeier, S., Ó Fathaigh, R., Irion, K., Dobber, T., Bodo, B., &amp; de Vreese, C. (2018). Online political microtargeting: Promises and threats for democracy. </w:t>
      </w:r>
      <w:r w:rsidRPr="00EF2821" w:rsidR="5DA14051">
        <w:rPr>
          <w:rFonts w:ascii="Aptos" w:hAnsi="Aptos" w:eastAsia="Aptos" w:cs="Aptos"/>
          <w:b w:val="0"/>
          <w:bCs w:val="0"/>
          <w:i w:val="1"/>
          <w:iCs w:val="1"/>
          <w:caps w:val="0"/>
          <w:smallCaps w:val="0"/>
          <w:noProof w:val="0"/>
          <w:color w:val="4C5A73"/>
          <w:sz w:val="24"/>
          <w:szCs w:val="24"/>
          <w:lang w:val="en-GB"/>
        </w:rPr>
        <w:t>Utrecht Law Review</w:t>
      </w:r>
      <w:r w:rsidRPr="00EF2821" w:rsidR="5DA14051">
        <w:rPr>
          <w:rFonts w:ascii="Aptos" w:hAnsi="Aptos" w:eastAsia="Aptos" w:cs="Aptos"/>
          <w:b w:val="0"/>
          <w:bCs w:val="0"/>
          <w:i w:val="0"/>
          <w:iCs w:val="0"/>
          <w:caps w:val="0"/>
          <w:smallCaps w:val="0"/>
          <w:noProof w:val="0"/>
          <w:color w:val="4C5A73"/>
          <w:sz w:val="24"/>
          <w:szCs w:val="24"/>
          <w:lang w:val="en-GB"/>
        </w:rPr>
        <w:t xml:space="preserve">, 14(1), 82–96. </w:t>
      </w:r>
      <w:hyperlink r:id="Rd1882695bee1401f">
        <w:r w:rsidRPr="00EF2821" w:rsidR="5DA14051">
          <w:rPr>
            <w:rStyle w:val="Hyperlink"/>
            <w:b w:val="0"/>
            <w:bCs w:val="0"/>
            <w:i w:val="0"/>
            <w:iCs w:val="0"/>
            <w:caps w:val="0"/>
            <w:smallCaps w:val="0"/>
            <w:noProof w:val="0"/>
            <w:lang w:val="en-GB"/>
          </w:rPr>
          <w:t>https://doi.org/10.18352/ulr.420</w:t>
        </w:r>
      </w:hyperlink>
    </w:p>
    <w:p w:rsidR="00EF2821" w:rsidP="00EF2821" w:rsidRDefault="00EF2821" w14:paraId="5A9641AE" w14:textId="601EE985">
      <w:pPr>
        <w:pStyle w:val="Normal"/>
        <w:rPr>
          <w:rFonts w:ascii="Aptos" w:hAnsi="Aptos" w:eastAsia="Aptos" w:cs="Aptos"/>
          <w:b w:val="0"/>
          <w:bCs w:val="0"/>
          <w:i w:val="0"/>
          <w:iCs w:val="0"/>
          <w:caps w:val="0"/>
          <w:smallCaps w:val="0"/>
          <w:noProof w:val="0"/>
          <w:color w:val="4C5A73"/>
          <w:sz w:val="24"/>
          <w:szCs w:val="24"/>
          <w:lang w:val="en-GB"/>
        </w:rPr>
      </w:pPr>
    </w:p>
    <w:p w:rsidR="5DA14051" w:rsidP="00EF2821" w:rsidRDefault="5DA14051" w14:paraId="195D9F54" w14:textId="5D3C45D7">
      <w:pPr>
        <w:pStyle w:val="Normal"/>
        <w:jc w:val="left"/>
        <w:rPr>
          <w:rFonts w:ascii="Aptos" w:hAnsi="Aptos" w:eastAsia="Aptos" w:cs="Aptos"/>
          <w:b w:val="0"/>
          <w:bCs w:val="0"/>
          <w:i w:val="0"/>
          <w:iCs w:val="0"/>
          <w:caps w:val="0"/>
          <w:smallCaps w:val="0"/>
          <w:noProof w:val="0"/>
          <w:color w:val="4C5A73"/>
          <w:sz w:val="24"/>
          <w:szCs w:val="24"/>
          <w:lang w:val="en-GB"/>
        </w:rPr>
      </w:pPr>
      <w:r w:rsidRPr="00EF2821" w:rsidR="5DA14051">
        <w:rPr>
          <w:rFonts w:ascii="Aptos" w:hAnsi="Aptos" w:eastAsia="Aptos" w:cs="Aptos"/>
          <w:b w:val="0"/>
          <w:bCs w:val="0"/>
          <w:i w:val="0"/>
          <w:iCs w:val="0"/>
          <w:caps w:val="0"/>
          <w:smallCaps w:val="0"/>
          <w:noProof w:val="0"/>
          <w:color w:val="4C5A73"/>
          <w:sz w:val="24"/>
          <w:szCs w:val="24"/>
          <w:lang w:val="en-GB"/>
        </w:rPr>
        <w:t>==</w:t>
      </w:r>
      <w:r>
        <w:br/>
      </w:r>
      <w:r>
        <w:br/>
      </w:r>
    </w:p>
    <w:p w:rsidR="25A9629B" w:rsidP="00EF2821" w:rsidRDefault="25A9629B" w14:paraId="0E384AB1" w14:textId="33D914DE">
      <w:pPr>
        <w:pStyle w:val="Normal"/>
        <w:rPr>
          <w:rFonts w:ascii="Aptos" w:hAnsi="Aptos" w:eastAsia="Aptos" w:cs="Aptos"/>
          <w:noProof w:val="0"/>
          <w:sz w:val="24"/>
          <w:szCs w:val="24"/>
          <w:lang w:val="en-GB"/>
        </w:rPr>
      </w:pPr>
      <w:r w:rsidRPr="00EF2821" w:rsidR="25A9629B">
        <w:rPr>
          <w:rFonts w:ascii="Aptos" w:hAnsi="Aptos" w:eastAsia="Aptos" w:cs="Aptos"/>
          <w:b w:val="1"/>
          <w:bCs w:val="1"/>
          <w:i w:val="0"/>
          <w:iCs w:val="0"/>
          <w:caps w:val="0"/>
          <w:smallCaps w:val="0"/>
          <w:noProof w:val="0"/>
          <w:color w:val="4C5A73"/>
          <w:sz w:val="24"/>
          <w:szCs w:val="24"/>
          <w:lang w:val="en-GB"/>
        </w:rPr>
        <w:t>Peer Response 2</w:t>
      </w:r>
      <w:r>
        <w:br/>
      </w:r>
      <w:r>
        <w:br/>
      </w:r>
      <w:r>
        <w:br/>
      </w:r>
      <w:r w:rsidRPr="00EF2821" w:rsidR="25A9629B">
        <w:rPr>
          <w:rFonts w:ascii="Aptos" w:hAnsi="Aptos" w:eastAsia="Aptos" w:cs="Aptos"/>
          <w:b w:val="0"/>
          <w:bCs w:val="0"/>
          <w:i w:val="0"/>
          <w:iCs w:val="0"/>
          <w:caps w:val="0"/>
          <w:smallCaps w:val="0"/>
          <w:noProof w:val="0"/>
          <w:color w:val="4C5A73"/>
          <w:sz w:val="24"/>
          <w:szCs w:val="24"/>
          <w:lang w:val="en-GB"/>
        </w:rPr>
        <w:t>Hi Amiee,</w:t>
      </w:r>
      <w:r>
        <w:br/>
      </w:r>
      <w:r>
        <w:br/>
      </w:r>
      <w:r w:rsidRPr="00EF2821" w:rsidR="25A9629B">
        <w:rPr>
          <w:rFonts w:ascii="Aptos" w:hAnsi="Aptos" w:eastAsia="Aptos" w:cs="Aptos"/>
          <w:b w:val="0"/>
          <w:bCs w:val="0"/>
          <w:i w:val="0"/>
          <w:iCs w:val="0"/>
          <w:caps w:val="0"/>
          <w:smallCaps w:val="0"/>
          <w:noProof w:val="0"/>
          <w:color w:val="4C5A73"/>
          <w:sz w:val="24"/>
          <w:szCs w:val="24"/>
          <w:lang w:val="en-GB"/>
        </w:rPr>
        <w:t>Thank you for your post. I particularly liked your point that critical thinking could help agencies distinguish correlation from causation when interpreting voter data, as behavioural patterns may predict how particular groups respond without necessarily explaining why they behave in that way. This highlights an important strength of Halpern’s (1998) framework, since agencies should question the assumptions behind their interpretations rather than simply treating data-driven predictions as objective facts.</w:t>
      </w:r>
      <w:r>
        <w:br/>
      </w:r>
      <w:r>
        <w:br/>
      </w:r>
      <w:r w:rsidRPr="00EF2821" w:rsidR="25A9629B">
        <w:rPr>
          <w:rFonts w:ascii="Aptos" w:hAnsi="Aptos" w:eastAsia="Aptos" w:cs="Aptos"/>
          <w:b w:val="0"/>
          <w:bCs w:val="0"/>
          <w:i w:val="0"/>
          <w:iCs w:val="0"/>
          <w:caps w:val="0"/>
          <w:smallCaps w:val="0"/>
          <w:noProof w:val="0"/>
          <w:color w:val="4C5A73"/>
          <w:sz w:val="24"/>
          <w:szCs w:val="24"/>
          <w:lang w:val="en-GB"/>
        </w:rPr>
        <w:t>I would, however, question whether psychographic targeting necessarily challenges all four of Grice’s maxims. You suggest that manner may be compromised when viewers are unaware of the personalised or persuasive nature of an advertisement, yet manner primarily concerns whether communication is clear and avoids ambiguity (Grice, 1989). A targeted advertisement could therefore be clearly expressed while the process used to select its audience remains hidden, meaning that limited transparency may raise an ethical concern without necessarily representing a direct violation of manner.</w:t>
      </w:r>
      <w:r>
        <w:br/>
      </w:r>
      <w:r>
        <w:br/>
      </w:r>
      <w:r w:rsidRPr="00EF2821" w:rsidR="25A9629B">
        <w:rPr>
          <w:rFonts w:ascii="Aptos" w:hAnsi="Aptos" w:eastAsia="Aptos" w:cs="Aptos"/>
          <w:b w:val="0"/>
          <w:bCs w:val="0"/>
          <w:i w:val="0"/>
          <w:iCs w:val="0"/>
          <w:caps w:val="0"/>
          <w:smallCaps w:val="0"/>
          <w:noProof w:val="0"/>
          <w:color w:val="4C5A73"/>
          <w:sz w:val="24"/>
          <w:szCs w:val="24"/>
          <w:lang w:val="en-GB"/>
        </w:rPr>
        <w:t>Your discussion of confirmation bias is also particularly relevant. Nickerson (1998) describes confirmation bias as seeking or interpreting evidence in ways that favour existing beliefs, expectations or hypotheses. Agencies could therefore interpret voter data in ways that reinforce assumptions about particular groups, making the peer review and testing of competing explanations that you suggest especially valuable for challenging these interpretations.</w:t>
      </w:r>
      <w:r>
        <w:br/>
      </w:r>
      <w:r>
        <w:br/>
      </w:r>
      <w:r w:rsidRPr="00EF2821" w:rsidR="25A9629B">
        <w:rPr>
          <w:rFonts w:ascii="Aptos" w:hAnsi="Aptos" w:eastAsia="Aptos" w:cs="Aptos"/>
          <w:b w:val="0"/>
          <w:bCs w:val="0"/>
          <w:i w:val="0"/>
          <w:iCs w:val="0"/>
          <w:caps w:val="0"/>
          <w:smallCaps w:val="0"/>
          <w:noProof w:val="0"/>
          <w:color w:val="4C5A73"/>
          <w:sz w:val="24"/>
          <w:szCs w:val="24"/>
          <w:lang w:val="en-GB"/>
        </w:rPr>
        <w:t>I would also question whether Grice should be considered an ethical standard in itself. Although the maxims provide useful criteria for evaluating communication, cooperative and ethical communication are not necessarily identical; a message might satisfy Gricean expectations while the use of psychological data behind its targeting still raises wider ethical concerns.</w:t>
      </w:r>
      <w:r>
        <w:br/>
      </w:r>
      <w:r>
        <w:br/>
      </w:r>
      <w:r w:rsidRPr="00EF2821" w:rsidR="25A9629B">
        <w:rPr>
          <w:rFonts w:ascii="Aptos" w:hAnsi="Aptos" w:eastAsia="Aptos" w:cs="Aptos"/>
          <w:b w:val="0"/>
          <w:bCs w:val="0"/>
          <w:i w:val="0"/>
          <w:iCs w:val="0"/>
          <w:caps w:val="0"/>
          <w:smallCaps w:val="0"/>
          <w:noProof w:val="0"/>
          <w:color w:val="4C5A73"/>
          <w:sz w:val="24"/>
          <w:szCs w:val="24"/>
          <w:lang w:val="en-GB"/>
        </w:rPr>
        <w:t>Overall, your post makes a strong connection between critical thinking and campaign practice, although distinguishing between effective reasoning, cooperative communication and ethical practice may provide an even broader evaluation of psychographic targeting.</w:t>
      </w:r>
      <w:r>
        <w:br/>
      </w:r>
      <w:r>
        <w:br/>
      </w:r>
      <w:r w:rsidRPr="00EF2821" w:rsidR="25A9629B">
        <w:rPr>
          <w:rFonts w:ascii="Aptos" w:hAnsi="Aptos" w:eastAsia="Aptos" w:cs="Aptos"/>
          <w:b w:val="0"/>
          <w:bCs w:val="0"/>
          <w:i w:val="0"/>
          <w:iCs w:val="0"/>
          <w:caps w:val="0"/>
          <w:smallCaps w:val="0"/>
          <w:noProof w:val="0"/>
          <w:color w:val="4C5A73"/>
          <w:sz w:val="24"/>
          <w:szCs w:val="24"/>
          <w:lang w:val="en-GB"/>
        </w:rPr>
        <w:t>References</w:t>
      </w:r>
      <w:r>
        <w:br/>
      </w:r>
      <w:r>
        <w:br/>
      </w:r>
      <w:r w:rsidRPr="00EF2821" w:rsidR="25A9629B">
        <w:rPr>
          <w:rFonts w:ascii="Aptos" w:hAnsi="Aptos" w:eastAsia="Aptos" w:cs="Aptos"/>
          <w:b w:val="0"/>
          <w:bCs w:val="0"/>
          <w:i w:val="0"/>
          <w:iCs w:val="0"/>
          <w:caps w:val="0"/>
          <w:smallCaps w:val="0"/>
          <w:noProof w:val="0"/>
          <w:color w:val="4C5A73"/>
          <w:sz w:val="24"/>
          <w:szCs w:val="24"/>
          <w:lang w:val="en-GB"/>
        </w:rPr>
        <w:t xml:space="preserve">Grice, H. P. (1989). </w:t>
      </w:r>
      <w:r w:rsidRPr="00EF2821" w:rsidR="25A9629B">
        <w:rPr>
          <w:rFonts w:ascii="Aptos" w:hAnsi="Aptos" w:eastAsia="Aptos" w:cs="Aptos"/>
          <w:b w:val="0"/>
          <w:bCs w:val="0"/>
          <w:i w:val="1"/>
          <w:iCs w:val="1"/>
          <w:caps w:val="0"/>
          <w:smallCaps w:val="0"/>
          <w:noProof w:val="0"/>
          <w:color w:val="4C5A73"/>
          <w:sz w:val="24"/>
          <w:szCs w:val="24"/>
          <w:lang w:val="en-GB"/>
        </w:rPr>
        <w:t>Studies in the way of words</w:t>
      </w:r>
      <w:r w:rsidRPr="00EF2821" w:rsidR="25A9629B">
        <w:rPr>
          <w:rFonts w:ascii="Aptos" w:hAnsi="Aptos" w:eastAsia="Aptos" w:cs="Aptos"/>
          <w:b w:val="0"/>
          <w:bCs w:val="0"/>
          <w:i w:val="0"/>
          <w:iCs w:val="0"/>
          <w:caps w:val="0"/>
          <w:smallCaps w:val="0"/>
          <w:noProof w:val="0"/>
          <w:color w:val="4C5A73"/>
          <w:sz w:val="24"/>
          <w:szCs w:val="24"/>
          <w:lang w:val="en-GB"/>
        </w:rPr>
        <w:t>. Harvard University Press.</w:t>
      </w:r>
      <w:r>
        <w:br/>
      </w:r>
      <w:r>
        <w:br/>
      </w:r>
      <w:r w:rsidRPr="00EF2821" w:rsidR="25A9629B">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Dispositions, skills, structure training, and metacognitive monitoring. </w:t>
      </w:r>
      <w:r w:rsidRPr="00EF2821" w:rsidR="25A9629B">
        <w:rPr>
          <w:rFonts w:ascii="Aptos" w:hAnsi="Aptos" w:eastAsia="Aptos" w:cs="Aptos"/>
          <w:b w:val="0"/>
          <w:bCs w:val="0"/>
          <w:i w:val="1"/>
          <w:iCs w:val="1"/>
          <w:caps w:val="0"/>
          <w:smallCaps w:val="0"/>
          <w:noProof w:val="0"/>
          <w:color w:val="4C5A73"/>
          <w:sz w:val="24"/>
          <w:szCs w:val="24"/>
          <w:lang w:val="en-GB"/>
        </w:rPr>
        <w:t>American Psychologist</w:t>
      </w:r>
      <w:r w:rsidRPr="00EF2821" w:rsidR="25A9629B">
        <w:rPr>
          <w:rFonts w:ascii="Aptos" w:hAnsi="Aptos" w:eastAsia="Aptos" w:cs="Aptos"/>
          <w:b w:val="0"/>
          <w:bCs w:val="0"/>
          <w:i w:val="0"/>
          <w:iCs w:val="0"/>
          <w:caps w:val="0"/>
          <w:smallCaps w:val="0"/>
          <w:noProof w:val="0"/>
          <w:color w:val="4C5A73"/>
          <w:sz w:val="24"/>
          <w:szCs w:val="24"/>
          <w:lang w:val="en-GB"/>
        </w:rPr>
        <w:t>, 53(4), 449–455. https://doi.org/10.1037/0003-066X.53.4.449</w:t>
      </w:r>
      <w:r>
        <w:br/>
      </w:r>
      <w:r>
        <w:br/>
      </w:r>
      <w:r w:rsidRPr="00EF2821" w:rsidR="25A9629B">
        <w:rPr>
          <w:rFonts w:ascii="Aptos" w:hAnsi="Aptos" w:eastAsia="Aptos" w:cs="Aptos"/>
          <w:b w:val="0"/>
          <w:bCs w:val="0"/>
          <w:i w:val="0"/>
          <w:iCs w:val="0"/>
          <w:caps w:val="0"/>
          <w:smallCaps w:val="0"/>
          <w:noProof w:val="0"/>
          <w:color w:val="4C5A73"/>
          <w:sz w:val="24"/>
          <w:szCs w:val="24"/>
          <w:lang w:val="en-GB"/>
        </w:rPr>
        <w:t xml:space="preserve">Nickerson, R. S. (1998). Confirmation bias: A ubiquitous phenomenon in many guises. </w:t>
      </w:r>
      <w:r w:rsidRPr="00EF2821" w:rsidR="25A9629B">
        <w:rPr>
          <w:rFonts w:ascii="Aptos" w:hAnsi="Aptos" w:eastAsia="Aptos" w:cs="Aptos"/>
          <w:b w:val="0"/>
          <w:bCs w:val="0"/>
          <w:i w:val="1"/>
          <w:iCs w:val="1"/>
          <w:caps w:val="0"/>
          <w:smallCaps w:val="0"/>
          <w:noProof w:val="0"/>
          <w:color w:val="4C5A73"/>
          <w:sz w:val="24"/>
          <w:szCs w:val="24"/>
          <w:lang w:val="en-GB"/>
        </w:rPr>
        <w:t>Review of General Psychology,</w:t>
      </w:r>
      <w:r w:rsidRPr="00EF2821" w:rsidR="25A9629B">
        <w:rPr>
          <w:rFonts w:ascii="Aptos" w:hAnsi="Aptos" w:eastAsia="Aptos" w:cs="Aptos"/>
          <w:b w:val="0"/>
          <w:bCs w:val="0"/>
          <w:i w:val="0"/>
          <w:iCs w:val="0"/>
          <w:caps w:val="0"/>
          <w:smallCaps w:val="0"/>
          <w:noProof w:val="0"/>
          <w:color w:val="4C5A73"/>
          <w:sz w:val="24"/>
          <w:szCs w:val="24"/>
          <w:lang w:val="en-GB"/>
        </w:rPr>
        <w:t xml:space="preserve"> 2(2), 175–220. https://doi.org/10.1037/1089-2680.2.2.175</w:t>
      </w:r>
    </w:p>
    <w:sectPr w:rsidR="003807C1">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23433E"/>
    <w:rsid w:val="001465A6"/>
    <w:rsid w:val="003807C1"/>
    <w:rsid w:val="00EF2821"/>
    <w:rsid w:val="1AF881DD"/>
    <w:rsid w:val="235093DB"/>
    <w:rsid w:val="25A9629B"/>
    <w:rsid w:val="38C2EF4A"/>
    <w:rsid w:val="41DF002A"/>
    <w:rsid w:val="4FC15B6A"/>
    <w:rsid w:val="5DA14051"/>
    <w:rsid w:val="6623433E"/>
    <w:rsid w:val="702FCA7F"/>
    <w:rsid w:val="70F1A914"/>
    <w:rsid w:val="79EB9F5F"/>
    <w:rsid w:val="7F53C9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6446"/>
  <w15:chartTrackingRefBased/>
  <w15:docId w15:val="{DAF013BD-D242-424A-B735-D667EF8C2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0EF282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earchengineland.com/aimclears-psychographic-targeting-for-political-advertising-agencies-wins-237290" TargetMode="External" Id="Re44c1769338f4816" /><Relationship Type="http://schemas.openxmlformats.org/officeDocument/2006/relationships/hyperlink" Target="https://doi.org/10.14763/2023.1.1690" TargetMode="External" Id="Re7882b9132ad4b6f" /><Relationship Type="http://schemas.openxmlformats.org/officeDocument/2006/relationships/hyperlink" Target="https://psycnet.apa.org/doi/10.1037/0003-066X.53.4.449" TargetMode="External" Id="R7ee5e70a24ce4845" /><Relationship Type="http://schemas.openxmlformats.org/officeDocument/2006/relationships/hyperlink" Target="https://doi.org/10.1073/pnas.1710966114" TargetMode="External" Id="Rd62c43ad27554eee" /><Relationship Type="http://schemas.openxmlformats.org/officeDocument/2006/relationships/hyperlink" Target="https://doi.org/10.18352/ulr.420" TargetMode="External" Id="Rd1882695bee1401f" /><Relationship Type="http://schemas.openxmlformats.org/officeDocument/2006/relationships/hyperlink" Target="https://www.my-course.co.uk/user/view.php?id=27240&amp;course=15414" TargetMode="External" Id="R091120d263ac4f9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4</revision>
  <dcterms:created xsi:type="dcterms:W3CDTF">2026-08-28T11:26:00.0000000Z</dcterms:created>
  <dcterms:modified xsi:type="dcterms:W3CDTF">2026-08-28T11:28:42.2327242Z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2026-08-28T11:26:19Z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a80f58eb-ffee-475f-b065-0c8ada197988</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