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204DAE" w:rsidRDefault="005D7A56" w14:paraId="13EBE502" w14:textId="77777777">
      <w:pPr>
        <w:spacing w:after="240"/>
        <w:jc w:val="center"/>
      </w:pPr>
      <w:r>
        <w:rPr>
          <w:b/>
          <w:bCs/>
          <w:sz w:val="28"/>
          <w:szCs w:val="28"/>
        </w:rPr>
        <w:t>Resting Heart Rate Variability and Inhibitory Control Under Cognitive Load: A Research Proposal</w:t>
      </w:r>
    </w:p>
    <w:p w:rsidR="00204DAE" w:rsidRDefault="005D7A56" w14:paraId="6DFA741F" w14:textId="77777777">
      <w:pPr>
        <w:spacing w:after="80"/>
        <w:jc w:val="center"/>
      </w:pPr>
      <w:r>
        <w:rPr>
          <w:sz w:val="24"/>
          <w:szCs w:val="24"/>
        </w:rPr>
        <w:t>Viveyan Binyam</w:t>
      </w:r>
    </w:p>
    <w:p w:rsidR="00204DAE" w:rsidRDefault="005D7A56" w14:paraId="09D43069" w14:textId="77777777">
      <w:pPr>
        <w:spacing w:after="80"/>
        <w:jc w:val="center"/>
      </w:pPr>
      <w:r>
        <w:rPr>
          <w:sz w:val="24"/>
          <w:szCs w:val="24"/>
        </w:rPr>
        <w:t>Student ID: 509767</w:t>
      </w:r>
    </w:p>
    <w:p w:rsidR="00204DAE" w:rsidRDefault="005D7A56" w14:paraId="6AAEB326" w14:textId="77777777">
      <w:pPr>
        <w:spacing w:after="80"/>
        <w:jc w:val="center"/>
      </w:pPr>
      <w:r>
        <w:rPr>
          <w:sz w:val="24"/>
          <w:szCs w:val="24"/>
        </w:rPr>
        <w:t>Psychobiology and Neuroscience</w:t>
      </w:r>
    </w:p>
    <w:p w:rsidR="00204DAE" w:rsidRDefault="005D7A56" w14:paraId="42351F64" w14:textId="77777777">
      <w:pPr>
        <w:spacing w:after="80"/>
        <w:jc w:val="center"/>
      </w:pPr>
      <w:r>
        <w:rPr>
          <w:sz w:val="24"/>
          <w:szCs w:val="24"/>
        </w:rPr>
        <w:t>University of Essex Online</w:t>
      </w:r>
    </w:p>
    <w:p w:rsidR="00204DAE" w:rsidRDefault="005D7A56" w14:paraId="73869C4B" w14:textId="77777777">
      <w:pPr>
        <w:spacing w:after="80"/>
        <w:jc w:val="center"/>
      </w:pPr>
      <w:r>
        <w:rPr>
          <w:sz w:val="24"/>
          <w:szCs w:val="24"/>
        </w:rPr>
        <w:t>Date: 14 September 2026</w:t>
      </w:r>
    </w:p>
    <w:p w:rsidR="00204DAE" w:rsidRDefault="005D7A56" w14:paraId="1D5DC1B2" w14:textId="77777777">
      <w:pPr>
        <w:spacing w:after="80"/>
        <w:jc w:val="center"/>
      </w:pPr>
      <w:r>
        <w:rPr>
          <w:sz w:val="24"/>
          <w:szCs w:val="24"/>
        </w:rPr>
        <w:t>Word count: 2007 words (excluding Timeline, References and Appendices)</w:t>
      </w:r>
    </w:p>
    <w:p w:rsidR="00204DAE" w:rsidRDefault="005D7A56" w14:paraId="47128AAA" w14:textId="77777777">
      <w:pPr>
        <w:pStyle w:val="Heading1"/>
        <w:pageBreakBefore/>
        <w:spacing w:before="360" w:after="200"/>
      </w:pPr>
      <w:r>
        <w:rPr>
          <w:b/>
          <w:bCs/>
          <w:color w:val="000000"/>
          <w:sz w:val="28"/>
          <w:szCs w:val="28"/>
        </w:rPr>
        <w:t>Proposal Declaration</w:t>
      </w:r>
    </w:p>
    <w:p w:rsidR="00204DAE" w:rsidRDefault="005D7A56" w14:paraId="6FAA4E6F" w14:textId="77777777">
      <w:pPr>
        <w:spacing w:after="200" w:line="480" w:lineRule="auto"/>
        <w:jc w:val="both"/>
      </w:pPr>
      <w:r>
        <w:rPr>
          <w:sz w:val="24"/>
          <w:szCs w:val="24"/>
        </w:rPr>
        <w:t>I, Viveyan Binyam, declare that this proposal has been composed solely by myself and that it has not been submitted, in whole or in part, in any previous application for a degree. Except where stated otherwise, by reference or acknowledgement, the work presented is entirely my own and has been generated by me as the result of my own original research.</w:t>
      </w:r>
    </w:p>
    <w:p w:rsidR="00204DAE" w:rsidRDefault="005D7A56" w14:paraId="0C531A70" w14:textId="77777777">
      <w:pPr>
        <w:spacing w:after="200" w:line="480" w:lineRule="auto"/>
        <w:jc w:val="both"/>
      </w:pPr>
      <w:r>
        <w:rPr>
          <w:sz w:val="24"/>
          <w:szCs w:val="24"/>
        </w:rPr>
        <w:t>Generative AI tools were used to review and check my work structure. I have not plagiarised AI-generated content and have ensured that all work submitted is in my own words and based on my own understanding.</w:t>
      </w:r>
    </w:p>
    <w:p w:rsidR="00204DAE" w:rsidP="4BBA356C" w:rsidRDefault="005D7A56" w14:paraId="6B3E0043" w14:textId="4ACCD12F">
      <w:pPr>
        <w:pStyle w:val="Normal"/>
        <w:spacing w:after="200" w:line="480" w:lineRule="auto"/>
        <w:jc w:val="both"/>
      </w:pPr>
      <w:r w:rsidRPr="4BBA356C" w:rsidR="005D7A56">
        <w:rPr>
          <w:sz w:val="24"/>
          <w:szCs w:val="24"/>
        </w:rPr>
        <w:t>Signed: ____</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66237E3F" wp14:editId="3496536D">
                <wp:extent xmlns:wp="http://schemas.openxmlformats.org/drawingml/2006/wordprocessingDrawing" cx="572770" cy="249555"/>
                <wp:effectExtent xmlns:wp="http://schemas.openxmlformats.org/drawingml/2006/wordprocessingDrawing" l="57150" t="57150" r="0" b="55245"/>
                <wp:docPr xmlns:wp="http://schemas.openxmlformats.org/drawingml/2006/wordprocessingDrawing" id="1540686396"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643172321">
                          <w14:nvContentPartPr>
                            <w14:cNvContentPartPr/>
                          </w14:nvContentPartPr>
                          <w14:xfrm>
                            <a:off x="0" y="0"/>
                            <a:ext cx="572770" cy="24955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r w:rsidRPr="4BBA356C" w:rsidR="005D7A56">
        <w:rPr>
          <w:sz w:val="24"/>
          <w:szCs w:val="24"/>
        </w:rPr>
        <w:t>___________________________</w:t>
      </w:r>
    </w:p>
    <w:p w:rsidR="00204DAE" w:rsidRDefault="005D7A56" w14:paraId="6BCA7181" w14:textId="5229C4B7">
      <w:pPr>
        <w:spacing w:after="200" w:line="480" w:lineRule="auto"/>
        <w:jc w:val="both"/>
      </w:pPr>
      <w:r w:rsidRPr="4BBA356C" w:rsidR="005D7A56">
        <w:rPr>
          <w:sz w:val="24"/>
          <w:szCs w:val="24"/>
        </w:rPr>
        <w:t>Date: ___</w:t>
      </w:r>
      <w:r w:rsidRPr="4BBA356C" w:rsidR="27BA095A">
        <w:rPr>
          <w:sz w:val="24"/>
          <w:szCs w:val="24"/>
        </w:rPr>
        <w:t>14/09/2026</w:t>
      </w:r>
      <w:r w:rsidRPr="4BBA356C" w:rsidR="005D7A56">
        <w:rPr>
          <w:sz w:val="24"/>
          <w:szCs w:val="24"/>
        </w:rPr>
        <w:t>______________________________</w:t>
      </w:r>
    </w:p>
    <w:p w:rsidR="4BBA356C" w:rsidP="4BBA356C" w:rsidRDefault="4BBA356C" w14:paraId="0BEF4B3B" w14:textId="0FFB25E2">
      <w:pPr>
        <w:pStyle w:val="Heading1"/>
        <w:spacing w:before="360" w:after="200"/>
        <w:rPr>
          <w:b w:val="1"/>
          <w:bCs w:val="1"/>
          <w:color w:val="000000" w:themeColor="text1" w:themeTint="FF" w:themeShade="FF"/>
          <w:sz w:val="28"/>
          <w:szCs w:val="28"/>
        </w:rPr>
      </w:pPr>
    </w:p>
    <w:p w:rsidR="4BBA356C" w:rsidP="4BBA356C" w:rsidRDefault="4BBA356C" w14:paraId="3E6B8857" w14:textId="24A63896">
      <w:pPr>
        <w:pStyle w:val="Heading1"/>
        <w:spacing w:before="360" w:after="200"/>
        <w:rPr>
          <w:b w:val="1"/>
          <w:bCs w:val="1"/>
          <w:color w:val="000000" w:themeColor="text1" w:themeTint="FF" w:themeShade="FF"/>
          <w:sz w:val="28"/>
          <w:szCs w:val="28"/>
        </w:rPr>
      </w:pPr>
    </w:p>
    <w:p w:rsidR="4BBA356C" w:rsidP="4BBA356C" w:rsidRDefault="4BBA356C" w14:paraId="5558D4DA" w14:textId="18344117">
      <w:pPr>
        <w:pStyle w:val="Heading1"/>
        <w:spacing w:before="360" w:after="200"/>
        <w:rPr>
          <w:b w:val="1"/>
          <w:bCs w:val="1"/>
          <w:color w:val="000000" w:themeColor="text1" w:themeTint="FF" w:themeShade="FF"/>
          <w:sz w:val="28"/>
          <w:szCs w:val="28"/>
        </w:rPr>
      </w:pPr>
    </w:p>
    <w:p w:rsidR="4BBA356C" w:rsidP="4BBA356C" w:rsidRDefault="4BBA356C" w14:paraId="4F4F7CE3" w14:textId="14B5DEE0">
      <w:pPr>
        <w:pStyle w:val="Heading1"/>
        <w:spacing w:before="360" w:after="200"/>
        <w:rPr>
          <w:b w:val="1"/>
          <w:bCs w:val="1"/>
          <w:color w:val="000000" w:themeColor="text1" w:themeTint="FF" w:themeShade="FF"/>
          <w:sz w:val="28"/>
          <w:szCs w:val="28"/>
        </w:rPr>
      </w:pPr>
    </w:p>
    <w:p w:rsidR="4BBA356C" w:rsidP="4BBA356C" w:rsidRDefault="4BBA356C" w14:paraId="64F1DCAD" w14:textId="1E88278C">
      <w:pPr>
        <w:pStyle w:val="Heading1"/>
        <w:spacing w:before="360" w:after="200"/>
        <w:rPr>
          <w:b w:val="1"/>
          <w:bCs w:val="1"/>
          <w:color w:val="000000" w:themeColor="text1" w:themeTint="FF" w:themeShade="FF"/>
          <w:sz w:val="28"/>
          <w:szCs w:val="28"/>
        </w:rPr>
      </w:pPr>
    </w:p>
    <w:p w:rsidR="4BBA356C" w:rsidP="4BBA356C" w:rsidRDefault="4BBA356C" w14:paraId="1BAEEC05" w14:textId="156BCCEC">
      <w:pPr>
        <w:pStyle w:val="Heading1"/>
        <w:spacing w:before="360" w:after="200"/>
        <w:rPr>
          <w:b w:val="1"/>
          <w:bCs w:val="1"/>
          <w:color w:val="000000" w:themeColor="text1" w:themeTint="FF" w:themeShade="FF"/>
          <w:sz w:val="28"/>
          <w:szCs w:val="28"/>
        </w:rPr>
      </w:pPr>
    </w:p>
    <w:p w:rsidR="4BBA356C" w:rsidP="4BBA356C" w:rsidRDefault="4BBA356C" w14:paraId="5743F31D" w14:textId="6883A0D0">
      <w:pPr>
        <w:pStyle w:val="Heading1"/>
        <w:spacing w:before="360" w:after="200"/>
        <w:rPr>
          <w:b w:val="1"/>
          <w:bCs w:val="1"/>
          <w:color w:val="000000" w:themeColor="text1" w:themeTint="FF" w:themeShade="FF"/>
          <w:sz w:val="28"/>
          <w:szCs w:val="28"/>
        </w:rPr>
      </w:pPr>
    </w:p>
    <w:p w:rsidR="4BBA356C" w:rsidP="4BBA356C" w:rsidRDefault="4BBA356C" w14:paraId="581F5DC1" w14:textId="762FB279">
      <w:pPr>
        <w:pStyle w:val="Heading1"/>
        <w:spacing w:before="360" w:after="200"/>
        <w:rPr>
          <w:b w:val="1"/>
          <w:bCs w:val="1"/>
          <w:color w:val="000000" w:themeColor="text1" w:themeTint="FF" w:themeShade="FF"/>
          <w:sz w:val="28"/>
          <w:szCs w:val="28"/>
        </w:rPr>
      </w:pPr>
    </w:p>
    <w:p w:rsidR="4BBA356C" w:rsidP="4BBA356C" w:rsidRDefault="4BBA356C" w14:paraId="6AABDE3B" w14:textId="0C925A8A">
      <w:pPr>
        <w:pStyle w:val="Heading1"/>
        <w:spacing w:before="360" w:after="200"/>
        <w:rPr>
          <w:b w:val="1"/>
          <w:bCs w:val="1"/>
          <w:color w:val="000000" w:themeColor="text1" w:themeTint="FF" w:themeShade="FF"/>
          <w:sz w:val="28"/>
          <w:szCs w:val="28"/>
        </w:rPr>
      </w:pPr>
    </w:p>
    <w:p w:rsidR="4BBA356C" w:rsidP="4BBA356C" w:rsidRDefault="4BBA356C" w14:paraId="0A7A9298" w14:textId="2ADF7950">
      <w:pPr>
        <w:pStyle w:val="Heading1"/>
        <w:spacing w:before="360" w:after="200"/>
      </w:pPr>
    </w:p>
    <w:p w:rsidR="4BBA356C" w:rsidP="4BBA356C" w:rsidRDefault="4BBA356C" w14:paraId="558825C0" w14:textId="47251616">
      <w:pPr>
        <w:pStyle w:val="Heading1"/>
        <w:spacing w:before="360" w:after="200"/>
        <w:rPr>
          <w:b w:val="1"/>
          <w:bCs w:val="1"/>
          <w:color w:val="000000" w:themeColor="text1" w:themeTint="FF" w:themeShade="FF"/>
          <w:sz w:val="28"/>
          <w:szCs w:val="28"/>
        </w:rPr>
      </w:pPr>
    </w:p>
    <w:p w:rsidR="00204DAE" w:rsidRDefault="005D7A56" w14:paraId="3E7A9F1C" w14:textId="08FB37C6">
      <w:pPr>
        <w:pStyle w:val="Heading1"/>
        <w:spacing w:before="360" w:after="200"/>
      </w:pPr>
      <w:r w:rsidRPr="4BBA356C" w:rsidR="005D7A56">
        <w:rPr>
          <w:b w:val="1"/>
          <w:bCs w:val="1"/>
          <w:color w:val="000000" w:themeColor="text1" w:themeTint="FF" w:themeShade="FF"/>
          <w:sz w:val="28"/>
          <w:szCs w:val="28"/>
        </w:rPr>
        <w:t>Introduction</w:t>
      </w:r>
    </w:p>
    <w:p w:rsidR="00204DAE" w:rsidRDefault="005D7A56" w14:paraId="2FCA64F1" w14:textId="77777777">
      <w:pPr>
        <w:pStyle w:val="Heading2"/>
        <w:spacing w:before="280" w:after="160"/>
      </w:pPr>
      <w:r>
        <w:rPr>
          <w:b/>
          <w:bCs/>
          <w:color w:val="000000"/>
        </w:rPr>
        <w:t>Background Literature Review</w:t>
      </w:r>
    </w:p>
    <w:p w:rsidR="00204DAE" w:rsidRDefault="005D7A56" w14:paraId="0455E04D" w14:textId="77777777">
      <w:pPr>
        <w:pStyle w:val="Heading3"/>
        <w:spacing w:before="240" w:after="140"/>
      </w:pPr>
      <w:r>
        <w:rPr>
          <w:b/>
          <w:bCs/>
          <w:i/>
          <w:iCs/>
          <w:color w:val="000000"/>
        </w:rPr>
        <w:t>Theory</w:t>
      </w:r>
    </w:p>
    <w:p w:rsidR="00204DAE" w:rsidRDefault="005D7A56" w14:paraId="4EADD943" w14:textId="77777777">
      <w:pPr>
        <w:spacing w:after="200" w:line="480" w:lineRule="auto"/>
        <w:jc w:val="both"/>
      </w:pPr>
      <w:r>
        <w:rPr>
          <w:sz w:val="24"/>
          <w:szCs w:val="24"/>
        </w:rPr>
        <w:t>Staying in control of attention and behaviour under pressure relies on coordination between prefrontal regulatory regions and the autonomic nervous system. According to the neurovisceral integration model, vagally mediated heart rate variability (HRV) reflects how well a broader central autonomic network supports flexible self-regulation (Thayer &amp; Lane, 2000, 2009). Resting HRV is therefore a peripheral marker of regulatory capacity rather than a direct measure of neural activity, so people with higher rest</w:t>
      </w:r>
      <w:r>
        <w:rPr>
          <w:sz w:val="24"/>
          <w:szCs w:val="24"/>
        </w:rPr>
        <w:t>ing HRV should find it easier to stay flexible and goal-directed as cognitive demands rise.</w:t>
      </w:r>
    </w:p>
    <w:p w:rsidR="00204DAE" w:rsidRDefault="005D7A56" w14:paraId="131E6581" w14:textId="77777777">
      <w:pPr>
        <w:pStyle w:val="Heading3"/>
        <w:spacing w:before="240" w:after="140"/>
      </w:pPr>
      <w:r>
        <w:rPr>
          <w:b/>
          <w:bCs/>
          <w:i/>
          <w:iCs/>
          <w:color w:val="000000"/>
        </w:rPr>
        <w:t>Prior Findings</w:t>
      </w:r>
    </w:p>
    <w:p w:rsidR="00204DAE" w:rsidRDefault="005D7A56" w14:paraId="7F72BD92" w14:textId="77777777">
      <w:pPr>
        <w:spacing w:after="200" w:line="480" w:lineRule="auto"/>
        <w:jc w:val="both"/>
      </w:pPr>
      <w:r>
        <w:rPr>
          <w:sz w:val="24"/>
          <w:szCs w:val="24"/>
        </w:rPr>
        <w:t>On the whole, the evidence supports a link between resting HRV and cognition. Reviews and recent empirical studies connect higher resting HRV with stronger executive functioning, including working memory and inhibitory control, in healthy adults (Arakaki et al., 2023; Forte &amp; Casagrande, 2025). Whether this reflects a straightforward causal relationship is less certain: Nashiro et al. (2023) found no overall improvement in inhibitory control after a five-week HRV-biofeedback intervention, although participa</w:t>
      </w:r>
      <w:r>
        <w:rPr>
          <w:sz w:val="24"/>
          <w:szCs w:val="24"/>
        </w:rPr>
        <w:t>nts who showed greater heart-rate oscillation during training did improve on the Flanker task. This points to resting HRV working better as a marker of individual differences than as something that straightforwardly causes better cognitive performance.</w:t>
      </w:r>
    </w:p>
    <w:p w:rsidR="00204DAE" w:rsidRDefault="005D7A56" w14:paraId="67442B7B" w14:textId="77777777">
      <w:pPr>
        <w:spacing w:after="200" w:line="480" w:lineRule="auto"/>
        <w:jc w:val="both"/>
      </w:pPr>
      <w:r>
        <w:rPr>
          <w:sz w:val="24"/>
          <w:szCs w:val="24"/>
        </w:rPr>
        <w:t>What remains unclear is whether the HRV–cognition relationship shifts as cognitive demand increases. Riganello et al. (2023) examined autonomic indices during inhibition tasks of varying complexity, but did not test whether resting HRV predicts inhibitory control more strongly once load is manipulated. Doneva and De Fockert (2014) showed that a concurrent working-memory demand on the Sustained Attention to Response Task (SART) pushed participants towards a more conservative response criterion. Together, the</w:t>
      </w:r>
      <w:r>
        <w:rPr>
          <w:sz w:val="24"/>
          <w:szCs w:val="24"/>
        </w:rPr>
        <w:t>se findings point to cognitive demand as a possible boundary condition on the HRV–inhibitory-control relationship.</w:t>
      </w:r>
    </w:p>
    <w:p w:rsidR="00204DAE" w:rsidRDefault="005D7A56" w14:paraId="2BC7CA3D" w14:textId="77777777">
      <w:pPr>
        <w:spacing w:after="200" w:line="480" w:lineRule="auto"/>
        <w:jc w:val="both"/>
      </w:pPr>
      <w:r>
        <w:rPr>
          <w:sz w:val="24"/>
          <w:szCs w:val="24"/>
        </w:rPr>
        <w:t>Neurovisceral integration theory holds that higher resting HRV reflects a greater capacity for flexible prefrontal-autonomic regulation. This capacity may matter little when regulatory demands are low, but more once executive resources are stretched by a concurrent working-memory load, so cognitive load may reveal differences that stay hidden under easier conditions.</w:t>
      </w:r>
    </w:p>
    <w:p w:rsidR="00204DAE" w:rsidRDefault="005D7A56" w14:paraId="213CA5EF" w14:textId="77777777">
      <w:pPr>
        <w:pStyle w:val="Heading2"/>
        <w:spacing w:before="280" w:after="160"/>
      </w:pPr>
      <w:r>
        <w:rPr>
          <w:b/>
          <w:bCs/>
          <w:color w:val="000000"/>
        </w:rPr>
        <w:t>Rationale and Hypotheses</w:t>
      </w:r>
    </w:p>
    <w:p w:rsidR="00204DAE" w:rsidRDefault="005D7A56" w14:paraId="47DCC714" w14:textId="77777777">
      <w:pPr>
        <w:spacing w:after="200" w:line="480" w:lineRule="auto"/>
        <w:jc w:val="both"/>
      </w:pPr>
      <w:r>
        <w:rPr>
          <w:sz w:val="24"/>
          <w:szCs w:val="24"/>
        </w:rPr>
        <w:t>This proposal goes beyond simply asking whether HRV and executive performance are correlated. Its originality lies in combining a standardised resting physiological measure with an experimentally manipulated, within-person cognitive-load factor and testing how the two interact, giving a more specific test of when an HRV–performance relationship should show up most clearly, without claiming that higher resting HRV itself causes better cognitive functioning.</w:t>
      </w:r>
    </w:p>
    <w:p w:rsidR="00204DAE" w:rsidRDefault="005D7A56" w14:paraId="6112F502" w14:textId="77777777">
      <w:pPr>
        <w:spacing w:after="200" w:line="480" w:lineRule="auto"/>
        <w:jc w:val="both"/>
      </w:pPr>
      <w:r>
        <w:rPr>
          <w:sz w:val="24"/>
          <w:szCs w:val="24"/>
        </w:rPr>
        <w:t>The research question is: In healthy working-age adults, is resting HRV associated with performance on a Go/No-Go inhibitory-control task, and does this association become stronger under high relative to low cognitive load?</w:t>
      </w:r>
    </w:p>
    <w:p w:rsidR="00204DAE" w:rsidRDefault="005D7A56" w14:paraId="63BE8855" w14:textId="77777777">
      <w:pPr>
        <w:spacing w:after="200" w:line="480" w:lineRule="auto"/>
        <w:jc w:val="both"/>
      </w:pPr>
      <w:r>
        <w:rPr>
          <w:sz w:val="24"/>
          <w:szCs w:val="24"/>
        </w:rPr>
        <w:t>H1: Higher resting HRV will be associated with better inhibitory-control performance, indexed by greater d′.</w:t>
      </w:r>
    </w:p>
    <w:p w:rsidR="00204DAE" w:rsidRDefault="005D7A56" w14:paraId="2AF2ECA7" w14:textId="77777777">
      <w:pPr>
        <w:spacing w:after="200" w:line="480" w:lineRule="auto"/>
        <w:jc w:val="both"/>
      </w:pPr>
      <w:r>
        <w:rPr>
          <w:sz w:val="24"/>
          <w:szCs w:val="24"/>
        </w:rPr>
        <w:t>H2: The positive association between resting HRV and inhibitory-control performance will be stronger under high cognitive load than under low cognitive load, demonstrated by a significant HRV × cognitive-load interaction.</w:t>
      </w:r>
    </w:p>
    <w:p w:rsidR="00204DAE" w:rsidRDefault="005D7A56" w14:paraId="06B08E8E" w14:textId="77777777">
      <w:pPr>
        <w:spacing w:after="200" w:line="480" w:lineRule="auto"/>
        <w:jc w:val="both"/>
      </w:pPr>
      <w:r>
        <w:rPr>
          <w:sz w:val="24"/>
          <w:szCs w:val="24"/>
        </w:rPr>
        <w:t>The corresponding null hypotheses are that resting HRV will not be significantly associated with inhibitory-control performance, and that there will be no significant HRV × cognitive-load interaction.</w:t>
      </w:r>
    </w:p>
    <w:p w:rsidR="00204DAE" w:rsidRDefault="005D7A56" w14:paraId="06BE69F3" w14:textId="77777777">
      <w:pPr>
        <w:pStyle w:val="Heading2"/>
        <w:spacing w:before="280" w:after="160"/>
      </w:pPr>
      <w:r>
        <w:rPr>
          <w:b/>
          <w:bCs/>
          <w:color w:val="000000"/>
        </w:rPr>
        <w:t>Aims and Objectives</w:t>
      </w:r>
    </w:p>
    <w:p w:rsidR="00204DAE" w:rsidRDefault="005D7A56" w14:paraId="614B5B04" w14:textId="77777777">
      <w:pPr>
        <w:spacing w:after="200" w:line="480" w:lineRule="auto"/>
        <w:jc w:val="both"/>
      </w:pPr>
      <w:r>
        <w:rPr>
          <w:sz w:val="24"/>
          <w:szCs w:val="24"/>
        </w:rPr>
        <w:t>My primary aim is to determine whether resting HRV predicts inhibitory-control performance more strongly under high than low cognitive load in healthy working-age adults. To get there, I plan to: (1) obtain a standardised measure of resting HRV; (2) measure response inhibition and sustained attentional control under low and high concurrent working-memory load; and (3) test whether cognitive load moderates the relationship between resting HRV and task performance.</w:t>
      </w:r>
    </w:p>
    <w:p w:rsidR="00204DAE" w:rsidRDefault="005D7A56" w14:paraId="6A5DF086" w14:textId="77777777">
      <w:pPr>
        <w:pStyle w:val="Heading1"/>
        <w:spacing w:before="360" w:after="200"/>
      </w:pPr>
      <w:r>
        <w:rPr>
          <w:b/>
          <w:bCs/>
          <w:color w:val="000000"/>
          <w:sz w:val="28"/>
          <w:szCs w:val="28"/>
        </w:rPr>
        <w:t>Research Design</w:t>
      </w:r>
    </w:p>
    <w:p w:rsidR="00204DAE" w:rsidRDefault="005D7A56" w14:paraId="0CD0ABA0" w14:textId="77777777">
      <w:pPr>
        <w:pStyle w:val="Heading2"/>
        <w:spacing w:before="280" w:after="160"/>
      </w:pPr>
      <w:r>
        <w:rPr>
          <w:b/>
          <w:bCs/>
          <w:color w:val="000000"/>
        </w:rPr>
        <w:t>Design</w:t>
      </w:r>
    </w:p>
    <w:p w:rsidR="00204DAE" w:rsidRDefault="005D7A56" w14:paraId="21ADFF6D" w14:textId="77777777">
      <w:pPr>
        <w:spacing w:after="200" w:line="480" w:lineRule="auto"/>
        <w:jc w:val="both"/>
      </w:pPr>
      <w:r>
        <w:rPr>
          <w:sz w:val="24"/>
          <w:szCs w:val="24"/>
        </w:rPr>
        <w:t>This proposal takes a post-positivist, quantitative approach, treating resting HRV and behavioural performance as measurable, if imperfect, indicators of the underlying regulatory processes described by neurovisceral integration theory.</w:t>
      </w:r>
    </w:p>
    <w:p w:rsidR="00204DAE" w:rsidRDefault="005D7A56" w14:paraId="2E275E71" w14:textId="77777777">
      <w:pPr>
        <w:spacing w:after="200" w:line="480" w:lineRule="auto"/>
        <w:jc w:val="both"/>
      </w:pPr>
      <w:r>
        <w:rPr>
          <w:sz w:val="24"/>
          <w:szCs w:val="24"/>
        </w:rPr>
        <w:t>I will use a mixed experimental-correlational repeated-measures design. Resting HRV is a measured, continuous, between-person predictor, while cognitive load is manipulated within participants at two levels, low and high, with order counterbalanced. The primary behavioural outcome is d′, from SART performance.</w:t>
      </w:r>
    </w:p>
    <w:p w:rsidR="00204DAE" w:rsidRDefault="005D7A56" w14:paraId="48B8ED4D" w14:textId="77777777">
      <w:pPr>
        <w:spacing w:after="200" w:line="480" w:lineRule="auto"/>
        <w:jc w:val="both"/>
      </w:pPr>
      <w:r>
        <w:rPr>
          <w:sz w:val="24"/>
          <w:szCs w:val="24"/>
        </w:rPr>
        <w:t>Because HRV is measured rather than manipulated, this design cannot show that HRV causes differences in inhibitory-control performance. The within-participant manipulation of load, though, can support a causal claim about its effect on performance, provided the manipulation works as intended and order effects are controlled.</w:t>
      </w:r>
    </w:p>
    <w:p w:rsidR="00204DAE" w:rsidRDefault="005D7A56" w14:paraId="7DF8344F" w14:textId="77777777">
      <w:pPr>
        <w:pStyle w:val="Heading2"/>
        <w:spacing w:before="280" w:after="160"/>
      </w:pPr>
      <w:r>
        <w:rPr>
          <w:b/>
          <w:bCs/>
          <w:color w:val="000000"/>
        </w:rPr>
        <w:t>Materials</w:t>
      </w:r>
    </w:p>
    <w:p w:rsidR="00204DAE" w:rsidRDefault="005D7A56" w14:paraId="30C7FC71" w14:textId="77777777">
      <w:pPr>
        <w:spacing w:after="200" w:line="480" w:lineRule="auto"/>
        <w:jc w:val="both"/>
      </w:pPr>
      <w:r>
        <w:rPr>
          <w:sz w:val="24"/>
          <w:szCs w:val="24"/>
        </w:rPr>
        <w:t>I will assess inhibitory control using the SART (Robertson et al., 1997), where participants respond to frequent digit stimuli but withhold responding to an infrequent target. SART performance depends on both response inhibition and sustained attention, so I will not treat it as a process-pure measure of inhibitory control.</w:t>
      </w:r>
    </w:p>
    <w:p w:rsidR="00204DAE" w:rsidRDefault="005D7A56" w14:paraId="37CB71C7" w14:textId="77777777">
      <w:pPr>
        <w:spacing w:after="200" w:line="480" w:lineRule="auto"/>
        <w:jc w:val="both"/>
      </w:pPr>
      <w:r>
        <w:rPr>
          <w:sz w:val="24"/>
          <w:szCs w:val="24"/>
        </w:rPr>
        <w:t>Cognitive load will be manipulated with a concurrent digit-memory task, following Lavie et al. (2004): a one-digit set for low load and a six-digit set for high load. Participants will encode the set, hold it in mind while completing the SART, and then indicate whether a probe digit had appeared. Embedding this task alongside the SART in both conditions, following Doneva and De Fockert (2014), means the conditions differ in memory demand rather than simply in whether a secondary task is present. Accuracy on</w:t>
      </w:r>
      <w:r>
        <w:rPr>
          <w:sz w:val="24"/>
          <w:szCs w:val="24"/>
        </w:rPr>
        <w:t xml:space="preserve"> the digit-memory task will serve as a manipulation check.</w:t>
      </w:r>
    </w:p>
    <w:p w:rsidR="00204DAE" w:rsidRDefault="005D7A56" w14:paraId="0A3B7B47" w14:textId="77777777">
      <w:pPr>
        <w:spacing w:after="200" w:line="480" w:lineRule="auto"/>
        <w:jc w:val="both"/>
      </w:pPr>
      <w:r>
        <w:rPr>
          <w:sz w:val="24"/>
          <w:szCs w:val="24"/>
        </w:rPr>
        <w:t>I will use signal-detection indices because they separate sensitivity from response strategy: d′ indexes how well a participant discriminates go from no-go trials, while criterion c indexes whether responding leans liberal or conservative. This matters here since Doneva and De Fockert (2014) found that working-memory load shifted response criterion rather than causing a blanket decline in performance.</w:t>
      </w:r>
    </w:p>
    <w:p w:rsidR="00204DAE" w:rsidRDefault="005D7A56" w14:paraId="72B3C8DD" w14:textId="77777777">
      <w:pPr>
        <w:spacing w:after="200" w:line="480" w:lineRule="auto"/>
        <w:jc w:val="both"/>
      </w:pPr>
      <w:r>
        <w:rPr>
          <w:sz w:val="24"/>
          <w:szCs w:val="24"/>
        </w:rPr>
        <w:t>Resting HRV will be measured with research-grade electrocardiography (ECG), following Laborde et al. (2017). Participants will sit for a five-minute acclimatisation period followed by a five-minute baseline recording, in a standardised posture (feet flat, hands on thighs, minimal movement, spontaneous breathing). ECG will be sampled at a rate sufficient for reliable R-peak identification and checked for artefacts. The primary HRV index will be RMSSD (root mean square of successive differences).</w:t>
      </w:r>
    </w:p>
    <w:p w:rsidR="00204DAE" w:rsidRDefault="005D7A56" w14:paraId="2BF97D8D" w14:textId="77777777">
      <w:pPr>
        <w:spacing w:after="200" w:line="480" w:lineRule="auto"/>
        <w:jc w:val="both"/>
      </w:pPr>
      <w:r>
        <w:rPr>
          <w:sz w:val="24"/>
          <w:szCs w:val="24"/>
        </w:rPr>
        <w:t>To limit transient influences on HRV, participants will be asked to keep their usual sleep routine, avoid intense physical training the day before testing, avoid alcohol for 24 hours, and avoid food and caffeinated drinks for two hours beforehand (Laborde et al., 2017). I will record sleep timing, smoking status, medication, and adherence, and schedule sessions at a similar time of day where feasible.</w:t>
      </w:r>
    </w:p>
    <w:p w:rsidR="00204DAE" w:rsidRDefault="005D7A56" w14:paraId="58A5D19C" w14:textId="77777777">
      <w:pPr>
        <w:pStyle w:val="Heading2"/>
        <w:spacing w:before="280" w:after="160"/>
      </w:pPr>
      <w:r>
        <w:rPr>
          <w:b/>
          <w:bCs/>
          <w:color w:val="000000"/>
        </w:rPr>
        <w:t>Participants</w:t>
      </w:r>
    </w:p>
    <w:p w:rsidR="00204DAE" w:rsidRDefault="005D7A56" w14:paraId="26A0032B" w14:textId="77777777">
      <w:pPr>
        <w:spacing w:after="200" w:line="480" w:lineRule="auto"/>
        <w:jc w:val="both"/>
      </w:pPr>
      <w:r>
        <w:rPr>
          <w:sz w:val="24"/>
          <w:szCs w:val="24"/>
        </w:rPr>
        <w:t>I will recruit a minimum of 80 adults aged 18–65 using convenience and snowball sampling. Participants will need normal or corrected-to-normal vision and enough English to follow the instructions. I will exclude anyone with a diagnosed cardiovascular or neurological condition, a current major psychiatric disorder, or medication known to substantially affect autonomic cardiac functioning.</w:t>
      </w:r>
    </w:p>
    <w:p w:rsidR="00204DAE" w:rsidRDefault="005D7A56" w14:paraId="5F1A13BC" w14:textId="77777777">
      <w:pPr>
        <w:spacing w:after="200" w:line="480" w:lineRule="auto"/>
        <w:jc w:val="both"/>
      </w:pPr>
      <w:r>
        <w:rPr>
          <w:sz w:val="24"/>
          <w:szCs w:val="24"/>
        </w:rPr>
        <w:t>Age will be entered as a prespecified covariate, since it relates to HRV and could also affect cognitive performance.</w:t>
      </w:r>
    </w:p>
    <w:p w:rsidR="00204DAE" w:rsidRDefault="005D7A56" w14:paraId="04AEB97C" w14:textId="77777777">
      <w:pPr>
        <w:spacing w:after="200" w:line="480" w:lineRule="auto"/>
        <w:jc w:val="both"/>
      </w:pPr>
      <w:r>
        <w:rPr>
          <w:sz w:val="24"/>
          <w:szCs w:val="24"/>
        </w:rPr>
        <w:t>Because the primary hypothesis concerns an interaction effect, which generally needs more power than a main effect alone (Blake &amp; Gangestad, 2020), sample size deserves care here. Comparable HRV-cognition studies have used samples from around 36 (Riganello et al., 2023) to 143 (Forte &amp; Casagrande, 2025). I propose 80 as a minimum feasibility benchmark, not proof of adequate power. Before a full dissertation study, I would settle on a final sample size through an a priori or simulation-based power analysis t</w:t>
      </w:r>
      <w:r>
        <w:rPr>
          <w:sz w:val="24"/>
          <w:szCs w:val="24"/>
        </w:rPr>
        <w:t>argeting the HRV × cognitive-load interaction.</w:t>
      </w:r>
    </w:p>
    <w:p w:rsidR="00204DAE" w:rsidRDefault="005D7A56" w14:paraId="1553BCC8" w14:textId="77777777">
      <w:pPr>
        <w:pStyle w:val="Heading1"/>
        <w:spacing w:before="360" w:after="200"/>
      </w:pPr>
      <w:r>
        <w:rPr>
          <w:b/>
          <w:bCs/>
          <w:color w:val="000000"/>
          <w:sz w:val="28"/>
          <w:szCs w:val="28"/>
        </w:rPr>
        <w:t>Data Analysis Plan</w:t>
      </w:r>
    </w:p>
    <w:p w:rsidR="00204DAE" w:rsidRDefault="005D7A56" w14:paraId="40B3A1C7" w14:textId="77777777">
      <w:pPr>
        <w:spacing w:after="200" w:line="480" w:lineRule="auto"/>
        <w:jc w:val="both"/>
      </w:pPr>
      <w:r>
        <w:rPr>
          <w:sz w:val="24"/>
          <w:szCs w:val="24"/>
        </w:rPr>
        <w:t>I will first inspect ECG recordings for ectopic beats and artefacts before calculating RMSSD, applying a natural-log transformation if RMSSD shows substantial positive skew, in line with recommendations for HRV analysis (Laborde et al., 2017).</w:t>
      </w:r>
    </w:p>
    <w:p w:rsidR="00204DAE" w:rsidRDefault="005D7A56" w14:paraId="124C54AA" w14:textId="77777777">
      <w:pPr>
        <w:spacing w:after="200" w:line="480" w:lineRule="auto"/>
        <w:jc w:val="both"/>
      </w:pPr>
      <w:r>
        <w:rPr>
          <w:sz w:val="24"/>
          <w:szCs w:val="24"/>
        </w:rPr>
        <w:t>For the signal-detection calculations, I will classify correct responses to go trials as hits and responses to no-go targets as false alarms, then calculate d′ and criterion c separately for each load condition. Extreme hit or false-alarm rates of 0 or 1 will be corrected using the log-linear adjustment described by Hautus (1995).</w:t>
      </w:r>
    </w:p>
    <w:p w:rsidR="00204DAE" w:rsidRDefault="005D7A56" w14:paraId="43944091" w14:textId="77777777">
      <w:pPr>
        <w:spacing w:after="200" w:line="480" w:lineRule="auto"/>
        <w:jc w:val="both"/>
      </w:pPr>
      <w:r>
        <w:rPr>
          <w:sz w:val="24"/>
          <w:szCs w:val="24"/>
        </w:rPr>
        <w:t>The primary analysis will use a linear mixed-effects model, with cognitive load effect-coded (low = −0.5; high = +0.5) and resting HRV mean-centred. Fixed effects will include HRV, load, the HRV × load interaction, and age, with participant as a random intercept and a random slope for load retained where the model converges.</w:t>
      </w:r>
    </w:p>
    <w:p w:rsidR="00204DAE" w:rsidRDefault="005D7A56" w14:paraId="21BF031E" w14:textId="77777777">
      <w:pPr>
        <w:spacing w:after="200" w:line="480" w:lineRule="auto"/>
        <w:jc w:val="both"/>
      </w:pPr>
      <w:r>
        <w:rPr>
          <w:sz w:val="24"/>
          <w:szCs w:val="24"/>
        </w:rPr>
        <w:t>H1 will be tested against the fixed effect of resting HRV, and H2 against the HRV × cognitive-load interaction, evaluating significance at α = .05 and reporting 95% confidence intervals, with model assumptions checked through residual diagnostics.</w:t>
      </w:r>
    </w:p>
    <w:p w:rsidR="00204DAE" w:rsidRDefault="005D7A56" w14:paraId="24B33AAD" w14:textId="77777777">
      <w:pPr>
        <w:spacing w:after="200" w:line="480" w:lineRule="auto"/>
        <w:jc w:val="both"/>
      </w:pPr>
      <w:r>
        <w:rPr>
          <w:sz w:val="24"/>
          <w:szCs w:val="24"/>
        </w:rPr>
        <w:t>d′ is the primary outcome. Criterion c will be analysed as a secondary outcome using the same model, since Doneva and De Fockert’s (2014) findings centred on response criterion, and reaction time will be retained as a secondary descriptive measure, since it alone cannot distinguish improved inhibition from a speed-accuracy trade-off. Memory-task accuracy will be compared across load conditions to check the manipulation worked as intended.</w:t>
      </w:r>
    </w:p>
    <w:p w:rsidR="00204DAE" w:rsidRDefault="005D7A56" w14:paraId="6B5AB5D5" w14:textId="77777777">
      <w:pPr>
        <w:pStyle w:val="Heading1"/>
        <w:spacing w:before="360" w:after="200"/>
      </w:pPr>
      <w:r>
        <w:rPr>
          <w:b/>
          <w:bCs/>
          <w:color w:val="000000"/>
          <w:sz w:val="28"/>
          <w:szCs w:val="28"/>
        </w:rPr>
        <w:t>Procedure</w:t>
      </w:r>
    </w:p>
    <w:p w:rsidR="00204DAE" w:rsidRDefault="005D7A56" w14:paraId="061E7D46" w14:textId="77777777">
      <w:pPr>
        <w:spacing w:after="200" w:line="480" w:lineRule="auto"/>
        <w:jc w:val="both"/>
      </w:pPr>
      <w:r>
        <w:rPr>
          <w:sz w:val="24"/>
          <w:szCs w:val="24"/>
        </w:rPr>
        <w:t>Participants will first receive the Participant Information Sheet (Appendix A) and give written informed consent via the Consent Form (Appendix B), before completing demographic and screening questions.</w:t>
      </w:r>
    </w:p>
    <w:p w:rsidR="00204DAE" w:rsidRDefault="005D7A56" w14:paraId="51A5906B" w14:textId="77777777">
      <w:pPr>
        <w:spacing w:after="200" w:line="480" w:lineRule="auto"/>
        <w:jc w:val="both"/>
      </w:pPr>
      <w:r>
        <w:rPr>
          <w:sz w:val="24"/>
          <w:szCs w:val="24"/>
        </w:rPr>
        <w:t>They will then sit through a five-minute acclimatisation period followed by the five-minute resting ECG recording, receive standardised instructions and practice trials, and complete the SART under both load conditions, with order counterbalanced. At the end, participants will be debriefed and given a chance to ask questions. The whole session should take around 40–45 minutes.</w:t>
      </w:r>
    </w:p>
    <w:p w:rsidR="00204DAE" w:rsidRDefault="005D7A56" w14:paraId="2DA90208" w14:textId="77777777">
      <w:pPr>
        <w:pStyle w:val="Heading1"/>
        <w:spacing w:before="360" w:after="200"/>
      </w:pPr>
      <w:r>
        <w:rPr>
          <w:b/>
          <w:bCs/>
          <w:color w:val="000000"/>
          <w:sz w:val="28"/>
          <w:szCs w:val="28"/>
        </w:rPr>
        <w:t>Ethics</w:t>
      </w:r>
    </w:p>
    <w:p w:rsidR="00204DAE" w:rsidRDefault="005D7A56" w14:paraId="1824E331" w14:textId="77777777">
      <w:pPr>
        <w:spacing w:after="200" w:line="480" w:lineRule="auto"/>
        <w:jc w:val="both"/>
      </w:pPr>
      <w:r>
        <w:rPr>
          <w:sz w:val="24"/>
          <w:szCs w:val="24"/>
        </w:rPr>
        <w:t>I will obtain ethical approval from the University of Essex Online Department of Psychology and Criminology before recruitment or data collection begins.</w:t>
      </w:r>
    </w:p>
    <w:p w:rsidR="00204DAE" w:rsidRDefault="005D7A56" w14:paraId="500EEE19" w14:textId="77777777">
      <w:pPr>
        <w:spacing w:after="200" w:line="480" w:lineRule="auto"/>
        <w:jc w:val="both"/>
      </w:pPr>
      <w:r>
        <w:rPr>
          <w:sz w:val="24"/>
          <w:szCs w:val="24"/>
        </w:rPr>
        <w:t>This research is low risk and non-invasive. The main burdens are brief cognitive fatigue and minor discomfort from the ECG electrodes, and participants will be told they can pause or stop at any point without penalty.</w:t>
      </w:r>
    </w:p>
    <w:p w:rsidR="00204DAE" w:rsidRDefault="005D7A56" w14:paraId="33B7F062" w14:textId="77777777">
      <w:pPr>
        <w:spacing w:after="200" w:line="480" w:lineRule="auto"/>
        <w:jc w:val="both"/>
      </w:pPr>
      <w:r>
        <w:rPr>
          <w:sz w:val="24"/>
          <w:szCs w:val="24"/>
        </w:rPr>
        <w:t>Participation will be voluntary and based on informed consent. Data will initially be pseudonymised using participant identification codes, with identifying information and the linking key stored separately on encrypted, password-protected university systems. Participants will be told they can request withdrawal until the identifying key is destroyed and the dataset is irreversibly anonymised; after that point, individual data can no longer be identified for removal.</w:t>
      </w:r>
    </w:p>
    <w:p w:rsidR="00204DAE" w:rsidRDefault="005D7A56" w14:paraId="0A105D81" w14:textId="77777777">
      <w:pPr>
        <w:spacing w:after="200" w:line="480" w:lineRule="auto"/>
        <w:jc w:val="both"/>
      </w:pPr>
      <w:r>
        <w:rPr>
          <w:sz w:val="24"/>
          <w:szCs w:val="24"/>
        </w:rPr>
        <w:t>Throughout, I will follow the BPS Code of Human Research Ethics, in particular the principles of respect for autonomy, privacy and dignity, scientific integrity, social responsibility, and maximising benefit while minimising harm (British Psychological Society, 2021).</w:t>
      </w:r>
    </w:p>
    <w:p w:rsidR="00204DAE" w:rsidRDefault="005D7A56" w14:paraId="2BFBC3A2" w14:textId="77777777">
      <w:pPr>
        <w:pStyle w:val="Heading1"/>
        <w:spacing w:before="360" w:after="200"/>
      </w:pPr>
      <w:r>
        <w:rPr>
          <w:b/>
          <w:bCs/>
          <w:color w:val="000000"/>
          <w:sz w:val="28"/>
          <w:szCs w:val="28"/>
        </w:rPr>
        <w:t>Limitations</w:t>
      </w:r>
    </w:p>
    <w:p w:rsidR="00204DAE" w:rsidRDefault="005D7A56" w14:paraId="24FA4218" w14:textId="77777777">
      <w:pPr>
        <w:spacing w:after="200" w:line="480" w:lineRule="auto"/>
        <w:jc w:val="both"/>
      </w:pPr>
      <w:r>
        <w:rPr>
          <w:sz w:val="24"/>
          <w:szCs w:val="24"/>
        </w:rPr>
        <w:t>Because resting HRV is measured rather than manipulated, an association between HRV and inhibitory-control performance cannot establish causality. Even though cognitive load is manipulated, the HRV × load interaction would only show that this association varies with load, not that HRV itself causally produces resilience to cognitive demand. The neurovisceral integration model itself is also not beyond challenge: Grossman and Taylor (2007) argue that RSA-based HRV measures do not cleanly index a single, unit</w:t>
      </w:r>
      <w:r>
        <w:rPr>
          <w:sz w:val="24"/>
          <w:szCs w:val="24"/>
        </w:rPr>
        <w:t>ary vagal tone construct, since respiration and other non-neural factors can confound the signal, which means the model's central assumption, that resting HRV directly reflects prefrontal-autonomic regulatory capacity, is contested rather than settled.</w:t>
      </w:r>
    </w:p>
    <w:p w:rsidR="00204DAE" w:rsidRDefault="005D7A56" w14:paraId="10F47718" w14:textId="77777777">
      <w:pPr>
        <w:spacing w:after="200" w:line="480" w:lineRule="auto"/>
        <w:jc w:val="both"/>
      </w:pPr>
      <w:r>
        <w:rPr>
          <w:sz w:val="24"/>
          <w:szCs w:val="24"/>
        </w:rPr>
        <w:t>The SART is also not a process-pure measure of inhibition, since performance depends partly on sustained attention, so differences in d′ could reflect overlapping attentional processes rather than inhibition alone. Resting HRV is, in turn, influenced by sleep, recent activity, substance use, medication, and time of day; standardised procedures and screening will reduce these influences but not remove all residual variation.</w:t>
      </w:r>
    </w:p>
    <w:p w:rsidR="00204DAE" w:rsidRDefault="005D7A56" w14:paraId="42ABDA43" w14:textId="77777777">
      <w:pPr>
        <w:spacing w:after="200" w:line="480" w:lineRule="auto"/>
        <w:jc w:val="both"/>
      </w:pPr>
      <w:r>
        <w:rPr>
          <w:sz w:val="24"/>
          <w:szCs w:val="24"/>
        </w:rPr>
        <w:t>The proposed sample size is a feasibility estimate rather than the result of a formal power analysis, so the interaction may still be difficult to detect, and convenience and snowball sampling may limit how representative the sample is. This recruitment approach also risks producing a WEIRD sample, that is, one drawn from Western, Educated, Industrialised, Rich, and Democratic populations (Henrich et al., 2010), since people who respond to this kind of advert tend to be more educated and more digitally conn</w:t>
      </w:r>
      <w:r>
        <w:rPr>
          <w:sz w:val="24"/>
          <w:szCs w:val="24"/>
        </w:rPr>
        <w:t>ected than the wider population. Recruiting through workplace occupational-health schemes and community organisations, rather than relying solely on personal and academic networks, would help reach a broader range of adults and reduce this bias in future iterations of the study.</w:t>
      </w:r>
    </w:p>
    <w:p w:rsidR="00204DAE" w:rsidRDefault="005D7A56" w14:paraId="4BC07278" w14:textId="77777777">
      <w:pPr>
        <w:spacing w:after="200" w:line="480" w:lineRule="auto"/>
        <w:jc w:val="both"/>
      </w:pPr>
      <w:r>
        <w:rPr>
          <w:sz w:val="24"/>
          <w:szCs w:val="24"/>
        </w:rPr>
        <w:t>Finally, although demanding occupational contexts partly motivate this research, laboratory SART performance cannot demonstrate superior professional judgement or quality of care. Findings would be limited to the relationship between resting HRV and cognitive-control performance, and any real-world professional implications would need separate, ecologically valid investigation.</w:t>
      </w:r>
    </w:p>
    <w:p w:rsidR="00204DAE" w:rsidRDefault="005D7A56" w14:paraId="553F2FC8" w14:textId="77777777">
      <w:pPr>
        <w:pStyle w:val="Heading1"/>
        <w:pageBreakBefore/>
        <w:spacing w:before="360" w:after="200"/>
      </w:pPr>
      <w:r>
        <w:rPr>
          <w:b/>
          <w:bCs/>
          <w:color w:val="000000"/>
          <w:sz w:val="28"/>
          <w:szCs w:val="28"/>
        </w:rPr>
        <w:t>Timeline</w:t>
      </w:r>
    </w:p>
    <w:p w:rsidR="00204DAE" w:rsidRDefault="005D7A56" w14:paraId="2AF88901" w14:textId="77777777">
      <w:pPr>
        <w:spacing w:after="200" w:line="480" w:lineRule="auto"/>
      </w:pPr>
      <w:r>
        <w:rPr>
          <w:sz w:val="24"/>
          <w:szCs w:val="24"/>
        </w:rPr>
        <w:t>Table 1</w:t>
      </w:r>
    </w:p>
    <w:p w:rsidR="00204DAE" w:rsidRDefault="005D7A56" w14:paraId="119B4588" w14:textId="77777777">
      <w:pPr>
        <w:spacing w:after="200" w:line="480" w:lineRule="auto"/>
      </w:pPr>
      <w:r>
        <w:rPr>
          <w:i/>
          <w:iCs/>
          <w:sz w:val="24"/>
          <w:szCs w:val="24"/>
        </w:rPr>
        <w:t>Proposed Research Timeline</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4"/>
        <w:gridCol w:w="4959"/>
        <w:gridCol w:w="1803"/>
      </w:tblGrid>
      <w:tr w:rsidR="00204DAE" w14:paraId="3AEA49AE" w14:textId="77777777">
        <w:tblPrEx>
          <w:tblCellMar>
            <w:top w:w="0" w:type="dxa"/>
            <w:bottom w:w="0" w:type="dxa"/>
          </w:tblCellMar>
        </w:tblPrEx>
        <w:trPr>
          <w:cantSplit/>
        </w:trPr>
        <w:tc>
          <w:tcPr>
            <w:tcW w:w="1250" w:type="pct"/>
            <w:shd w:val="clear" w:color="auto" w:fill="D9D9D9"/>
            <w:tcMar>
              <w:top w:w="100" w:type="dxa"/>
              <w:left w:w="100" w:type="dxa"/>
              <w:bottom w:w="100" w:type="dxa"/>
              <w:right w:w="100" w:type="dxa"/>
            </w:tcMar>
          </w:tcPr>
          <w:p w:rsidR="00204DAE" w:rsidRDefault="005D7A56" w14:paraId="5ED678BD" w14:textId="77777777">
            <w:r>
              <w:rPr>
                <w:b/>
                <w:bCs/>
                <w:sz w:val="22"/>
                <w:szCs w:val="22"/>
              </w:rPr>
              <w:t>Work package</w:t>
            </w:r>
          </w:p>
        </w:tc>
        <w:tc>
          <w:tcPr>
            <w:tcW w:w="2750" w:type="pct"/>
            <w:shd w:val="clear" w:color="auto" w:fill="D9D9D9"/>
            <w:tcMar>
              <w:top w:w="100" w:type="dxa"/>
              <w:left w:w="100" w:type="dxa"/>
              <w:bottom w:w="100" w:type="dxa"/>
              <w:right w:w="100" w:type="dxa"/>
            </w:tcMar>
          </w:tcPr>
          <w:p w:rsidR="00204DAE" w:rsidRDefault="005D7A56" w14:paraId="6F1F751C" w14:textId="77777777">
            <w:r>
              <w:rPr>
                <w:b/>
                <w:bCs/>
                <w:sz w:val="22"/>
                <w:szCs w:val="22"/>
              </w:rPr>
              <w:t>Main activities</w:t>
            </w:r>
          </w:p>
        </w:tc>
        <w:tc>
          <w:tcPr>
            <w:tcW w:w="1000" w:type="pct"/>
            <w:shd w:val="clear" w:color="auto" w:fill="D9D9D9"/>
            <w:tcMar>
              <w:top w:w="100" w:type="dxa"/>
              <w:left w:w="100" w:type="dxa"/>
              <w:bottom w:w="100" w:type="dxa"/>
              <w:right w:w="100" w:type="dxa"/>
            </w:tcMar>
          </w:tcPr>
          <w:p w:rsidR="00204DAE" w:rsidRDefault="005D7A56" w14:paraId="197044E5" w14:textId="77777777">
            <w:r>
              <w:rPr>
                <w:b/>
                <w:bCs/>
                <w:sz w:val="22"/>
                <w:szCs w:val="22"/>
              </w:rPr>
              <w:t>Indicative timing</w:t>
            </w:r>
          </w:p>
        </w:tc>
      </w:tr>
      <w:tr w:rsidR="00204DAE" w14:paraId="30E72A7B"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0A4A25A3" w14:textId="77777777">
            <w:r>
              <w:rPr>
                <w:sz w:val="22"/>
                <w:szCs w:val="22"/>
              </w:rPr>
              <w:t>Finalise research protocol</w:t>
            </w:r>
          </w:p>
        </w:tc>
        <w:tc>
          <w:tcPr>
            <w:tcW w:w="2750" w:type="pct"/>
            <w:tcMar>
              <w:top w:w="100" w:type="dxa"/>
              <w:left w:w="100" w:type="dxa"/>
              <w:bottom w:w="100" w:type="dxa"/>
              <w:right w:w="100" w:type="dxa"/>
            </w:tcMar>
          </w:tcPr>
          <w:p w:rsidR="00204DAE" w:rsidRDefault="005D7A56" w14:paraId="5590386C" w14:textId="77777777">
            <w:r>
              <w:rPr>
                <w:sz w:val="22"/>
                <w:szCs w:val="22"/>
              </w:rPr>
              <w:t>Finalise measures, procedure, materials and analysis plan</w:t>
            </w:r>
          </w:p>
        </w:tc>
        <w:tc>
          <w:tcPr>
            <w:tcW w:w="1000" w:type="pct"/>
            <w:tcMar>
              <w:top w:w="100" w:type="dxa"/>
              <w:left w:w="100" w:type="dxa"/>
              <w:bottom w:w="100" w:type="dxa"/>
              <w:right w:w="100" w:type="dxa"/>
            </w:tcMar>
          </w:tcPr>
          <w:p w:rsidR="00204DAE" w:rsidRDefault="005D7A56" w14:paraId="42F787C3" w14:textId="77777777">
            <w:r>
              <w:rPr>
                <w:sz w:val="22"/>
                <w:szCs w:val="22"/>
              </w:rPr>
              <w:t>Weeks 1–2</w:t>
            </w:r>
          </w:p>
        </w:tc>
      </w:tr>
      <w:tr w:rsidR="00204DAE" w14:paraId="50F9D6B4"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13A667C1" w14:textId="77777777">
            <w:r>
              <w:rPr>
                <w:sz w:val="22"/>
                <w:szCs w:val="22"/>
              </w:rPr>
              <w:t>Ethics review</w:t>
            </w:r>
          </w:p>
        </w:tc>
        <w:tc>
          <w:tcPr>
            <w:tcW w:w="2750" w:type="pct"/>
            <w:tcMar>
              <w:top w:w="100" w:type="dxa"/>
              <w:left w:w="100" w:type="dxa"/>
              <w:bottom w:w="100" w:type="dxa"/>
              <w:right w:w="100" w:type="dxa"/>
            </w:tcMar>
          </w:tcPr>
          <w:p w:rsidR="00204DAE" w:rsidRDefault="005D7A56" w14:paraId="145F0B35" w14:textId="77777777">
            <w:r>
              <w:rPr>
                <w:sz w:val="22"/>
                <w:szCs w:val="22"/>
              </w:rPr>
              <w:t>Submit ethics application and respond to required amendments</w:t>
            </w:r>
          </w:p>
        </w:tc>
        <w:tc>
          <w:tcPr>
            <w:tcW w:w="1000" w:type="pct"/>
            <w:tcMar>
              <w:top w:w="100" w:type="dxa"/>
              <w:left w:w="100" w:type="dxa"/>
              <w:bottom w:w="100" w:type="dxa"/>
              <w:right w:w="100" w:type="dxa"/>
            </w:tcMar>
          </w:tcPr>
          <w:p w:rsidR="00204DAE" w:rsidRDefault="005D7A56" w14:paraId="6C770685" w14:textId="77777777">
            <w:r>
              <w:rPr>
                <w:sz w:val="22"/>
                <w:szCs w:val="22"/>
              </w:rPr>
              <w:t>Weeks 3–4</w:t>
            </w:r>
          </w:p>
        </w:tc>
      </w:tr>
      <w:tr w:rsidR="00204DAE" w14:paraId="088D9013"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7BC01F1D" w14:textId="77777777">
            <w:r>
              <w:rPr>
                <w:sz w:val="22"/>
                <w:szCs w:val="22"/>
              </w:rPr>
              <w:t>Recruitment</w:t>
            </w:r>
          </w:p>
        </w:tc>
        <w:tc>
          <w:tcPr>
            <w:tcW w:w="2750" w:type="pct"/>
            <w:tcMar>
              <w:top w:w="100" w:type="dxa"/>
              <w:left w:w="100" w:type="dxa"/>
              <w:bottom w:w="100" w:type="dxa"/>
              <w:right w:w="100" w:type="dxa"/>
            </w:tcMar>
          </w:tcPr>
          <w:p w:rsidR="00204DAE" w:rsidRDefault="005D7A56" w14:paraId="1C540B8F" w14:textId="77777777">
            <w:r>
              <w:rPr>
                <w:sz w:val="22"/>
                <w:szCs w:val="22"/>
              </w:rPr>
              <w:t>Recruit and screen eligible participants</w:t>
            </w:r>
          </w:p>
        </w:tc>
        <w:tc>
          <w:tcPr>
            <w:tcW w:w="1000" w:type="pct"/>
            <w:tcMar>
              <w:top w:w="100" w:type="dxa"/>
              <w:left w:w="100" w:type="dxa"/>
              <w:bottom w:w="100" w:type="dxa"/>
              <w:right w:w="100" w:type="dxa"/>
            </w:tcMar>
          </w:tcPr>
          <w:p w:rsidR="00204DAE" w:rsidRDefault="005D7A56" w14:paraId="32077080" w14:textId="77777777">
            <w:r>
              <w:rPr>
                <w:sz w:val="22"/>
                <w:szCs w:val="22"/>
              </w:rPr>
              <w:t>Weeks 5–7</w:t>
            </w:r>
          </w:p>
        </w:tc>
      </w:tr>
      <w:tr w:rsidR="00204DAE" w14:paraId="1D57BBA1"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47ADE7F0" w14:textId="77777777">
            <w:r>
              <w:rPr>
                <w:sz w:val="22"/>
                <w:szCs w:val="22"/>
              </w:rPr>
              <w:t>Data collection</w:t>
            </w:r>
          </w:p>
        </w:tc>
        <w:tc>
          <w:tcPr>
            <w:tcW w:w="2750" w:type="pct"/>
            <w:tcMar>
              <w:top w:w="100" w:type="dxa"/>
              <w:left w:w="100" w:type="dxa"/>
              <w:bottom w:w="100" w:type="dxa"/>
              <w:right w:w="100" w:type="dxa"/>
            </w:tcMar>
          </w:tcPr>
          <w:p w:rsidR="00204DAE" w:rsidRDefault="005D7A56" w14:paraId="2E326905" w14:textId="77777777">
            <w:r>
              <w:rPr>
                <w:sz w:val="22"/>
                <w:szCs w:val="22"/>
              </w:rPr>
              <w:t>Complete ECG and cognitive-task sessions following ethics approval</w:t>
            </w:r>
          </w:p>
        </w:tc>
        <w:tc>
          <w:tcPr>
            <w:tcW w:w="1000" w:type="pct"/>
            <w:tcMar>
              <w:top w:w="100" w:type="dxa"/>
              <w:left w:w="100" w:type="dxa"/>
              <w:bottom w:w="100" w:type="dxa"/>
              <w:right w:w="100" w:type="dxa"/>
            </w:tcMar>
          </w:tcPr>
          <w:p w:rsidR="00204DAE" w:rsidRDefault="005D7A56" w14:paraId="5D9E821F" w14:textId="77777777">
            <w:r>
              <w:rPr>
                <w:sz w:val="22"/>
                <w:szCs w:val="22"/>
              </w:rPr>
              <w:t>Weeks 6–9</w:t>
            </w:r>
          </w:p>
        </w:tc>
      </w:tr>
      <w:tr w:rsidR="00204DAE" w14:paraId="5DEE3BA2"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5C9F0E55" w14:textId="77777777">
            <w:r>
              <w:rPr>
                <w:sz w:val="22"/>
                <w:szCs w:val="22"/>
              </w:rPr>
              <w:t>Data preparation</w:t>
            </w:r>
          </w:p>
        </w:tc>
        <w:tc>
          <w:tcPr>
            <w:tcW w:w="2750" w:type="pct"/>
            <w:tcMar>
              <w:top w:w="100" w:type="dxa"/>
              <w:left w:w="100" w:type="dxa"/>
              <w:bottom w:w="100" w:type="dxa"/>
              <w:right w:w="100" w:type="dxa"/>
            </w:tcMar>
          </w:tcPr>
          <w:p w:rsidR="00204DAE" w:rsidRDefault="005D7A56" w14:paraId="2528790D" w14:textId="77777777">
            <w:r>
              <w:rPr>
                <w:sz w:val="22"/>
                <w:szCs w:val="22"/>
              </w:rPr>
              <w:t>Clean ECG/SART data, correct artefacts and calculate HRV/SDT indices</w:t>
            </w:r>
          </w:p>
        </w:tc>
        <w:tc>
          <w:tcPr>
            <w:tcW w:w="1000" w:type="pct"/>
            <w:tcMar>
              <w:top w:w="100" w:type="dxa"/>
              <w:left w:w="100" w:type="dxa"/>
              <w:bottom w:w="100" w:type="dxa"/>
              <w:right w:w="100" w:type="dxa"/>
            </w:tcMar>
          </w:tcPr>
          <w:p w:rsidR="00204DAE" w:rsidRDefault="005D7A56" w14:paraId="076B3A9E" w14:textId="77777777">
            <w:r>
              <w:rPr>
                <w:sz w:val="22"/>
                <w:szCs w:val="22"/>
              </w:rPr>
              <w:t>Weeks 10–11</w:t>
            </w:r>
          </w:p>
        </w:tc>
      </w:tr>
      <w:tr w:rsidR="00204DAE" w14:paraId="1FA0E96C"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1B67A311" w14:textId="77777777">
            <w:r>
              <w:rPr>
                <w:sz w:val="22"/>
                <w:szCs w:val="22"/>
              </w:rPr>
              <w:t>Data analysis</w:t>
            </w:r>
          </w:p>
        </w:tc>
        <w:tc>
          <w:tcPr>
            <w:tcW w:w="2750" w:type="pct"/>
            <w:tcMar>
              <w:top w:w="100" w:type="dxa"/>
              <w:left w:w="100" w:type="dxa"/>
              <w:bottom w:w="100" w:type="dxa"/>
              <w:right w:w="100" w:type="dxa"/>
            </w:tcMar>
          </w:tcPr>
          <w:p w:rsidR="00204DAE" w:rsidRDefault="005D7A56" w14:paraId="663A5320" w14:textId="77777777">
            <w:r>
              <w:rPr>
                <w:sz w:val="22"/>
                <w:szCs w:val="22"/>
              </w:rPr>
              <w:t>Conduct prespecified mixed-effects analyses</w:t>
            </w:r>
          </w:p>
        </w:tc>
        <w:tc>
          <w:tcPr>
            <w:tcW w:w="1000" w:type="pct"/>
            <w:tcMar>
              <w:top w:w="100" w:type="dxa"/>
              <w:left w:w="100" w:type="dxa"/>
              <w:bottom w:w="100" w:type="dxa"/>
              <w:right w:w="100" w:type="dxa"/>
            </w:tcMar>
          </w:tcPr>
          <w:p w:rsidR="00204DAE" w:rsidRDefault="005D7A56" w14:paraId="2124D459" w14:textId="77777777">
            <w:r>
              <w:rPr>
                <w:sz w:val="22"/>
                <w:szCs w:val="22"/>
              </w:rPr>
              <w:t>Weeks 12–13</w:t>
            </w:r>
          </w:p>
        </w:tc>
      </w:tr>
      <w:tr w:rsidR="00204DAE" w14:paraId="7881A8CC"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3E65519C" w14:textId="77777777">
            <w:r>
              <w:rPr>
                <w:sz w:val="22"/>
                <w:szCs w:val="22"/>
              </w:rPr>
              <w:t>Write-up</w:t>
            </w:r>
          </w:p>
        </w:tc>
        <w:tc>
          <w:tcPr>
            <w:tcW w:w="2750" w:type="pct"/>
            <w:tcMar>
              <w:top w:w="100" w:type="dxa"/>
              <w:left w:w="100" w:type="dxa"/>
              <w:bottom w:w="100" w:type="dxa"/>
              <w:right w:w="100" w:type="dxa"/>
            </w:tcMar>
          </w:tcPr>
          <w:p w:rsidR="00204DAE" w:rsidRDefault="005D7A56" w14:paraId="2284C1BC" w14:textId="77777777">
            <w:r>
              <w:rPr>
                <w:sz w:val="22"/>
                <w:szCs w:val="22"/>
              </w:rPr>
              <w:t>Complete results, discussion and remaining dissertation sections</w:t>
            </w:r>
          </w:p>
        </w:tc>
        <w:tc>
          <w:tcPr>
            <w:tcW w:w="1000" w:type="pct"/>
            <w:tcMar>
              <w:top w:w="100" w:type="dxa"/>
              <w:left w:w="100" w:type="dxa"/>
              <w:bottom w:w="100" w:type="dxa"/>
              <w:right w:w="100" w:type="dxa"/>
            </w:tcMar>
          </w:tcPr>
          <w:p w:rsidR="00204DAE" w:rsidRDefault="005D7A56" w14:paraId="69D963F4" w14:textId="77777777">
            <w:r>
              <w:rPr>
                <w:sz w:val="22"/>
                <w:szCs w:val="22"/>
              </w:rPr>
              <w:t>Weeks 14–15</w:t>
            </w:r>
          </w:p>
        </w:tc>
      </w:tr>
      <w:tr w:rsidR="00204DAE" w14:paraId="362CB044" w14:textId="77777777">
        <w:tblPrEx>
          <w:tblCellMar>
            <w:top w:w="0" w:type="dxa"/>
            <w:bottom w:w="0" w:type="dxa"/>
          </w:tblCellMar>
        </w:tblPrEx>
        <w:trPr>
          <w:cantSplit/>
        </w:trPr>
        <w:tc>
          <w:tcPr>
            <w:tcW w:w="1250" w:type="pct"/>
            <w:tcMar>
              <w:top w:w="100" w:type="dxa"/>
              <w:left w:w="100" w:type="dxa"/>
              <w:bottom w:w="100" w:type="dxa"/>
              <w:right w:w="100" w:type="dxa"/>
            </w:tcMar>
          </w:tcPr>
          <w:p w:rsidR="00204DAE" w:rsidRDefault="005D7A56" w14:paraId="1AABE227" w14:textId="77777777">
            <w:r>
              <w:rPr>
                <w:sz w:val="22"/>
                <w:szCs w:val="22"/>
              </w:rPr>
              <w:t>Revision and submission</w:t>
            </w:r>
          </w:p>
        </w:tc>
        <w:tc>
          <w:tcPr>
            <w:tcW w:w="2750" w:type="pct"/>
            <w:tcMar>
              <w:top w:w="100" w:type="dxa"/>
              <w:left w:w="100" w:type="dxa"/>
              <w:bottom w:w="100" w:type="dxa"/>
              <w:right w:w="100" w:type="dxa"/>
            </w:tcMar>
          </w:tcPr>
          <w:p w:rsidR="00204DAE" w:rsidRDefault="005D7A56" w14:paraId="07AF8694" w14:textId="77777777">
            <w:r>
              <w:rPr>
                <w:sz w:val="22"/>
                <w:szCs w:val="22"/>
              </w:rPr>
              <w:t>Proofread, check APA formatting/references and prepare final submission</w:t>
            </w:r>
          </w:p>
        </w:tc>
        <w:tc>
          <w:tcPr>
            <w:tcW w:w="1000" w:type="pct"/>
            <w:tcMar>
              <w:top w:w="100" w:type="dxa"/>
              <w:left w:w="100" w:type="dxa"/>
              <w:bottom w:w="100" w:type="dxa"/>
              <w:right w:w="100" w:type="dxa"/>
            </w:tcMar>
          </w:tcPr>
          <w:p w:rsidR="00204DAE" w:rsidRDefault="005D7A56" w14:paraId="596C51B5" w14:textId="77777777">
            <w:r>
              <w:rPr>
                <w:sz w:val="22"/>
                <w:szCs w:val="22"/>
              </w:rPr>
              <w:t>Week 16</w:t>
            </w:r>
          </w:p>
        </w:tc>
      </w:tr>
    </w:tbl>
    <w:p w:rsidR="00204DAE" w:rsidRDefault="00204DAE" w14:paraId="672A6659" w14:textId="77777777">
      <w:pPr>
        <w:spacing w:after="200"/>
      </w:pPr>
    </w:p>
    <w:p w:rsidR="00204DAE" w:rsidRDefault="005D7A56" w14:paraId="071E4E01" w14:textId="77777777">
      <w:pPr>
        <w:pStyle w:val="Heading1"/>
        <w:pageBreakBefore/>
        <w:spacing w:before="360" w:after="200"/>
      </w:pPr>
      <w:r>
        <w:rPr>
          <w:b/>
          <w:bCs/>
          <w:color w:val="000000"/>
          <w:sz w:val="28"/>
          <w:szCs w:val="28"/>
        </w:rPr>
        <w:t>References</w:t>
      </w:r>
    </w:p>
    <w:p w:rsidR="00204DAE" w:rsidRDefault="005D7A56" w14:paraId="02273518" w14:textId="77777777">
      <w:pPr>
        <w:spacing w:after="200" w:line="480" w:lineRule="auto"/>
        <w:ind w:left="720" w:hanging="720"/>
      </w:pPr>
      <w:r>
        <w:rPr>
          <w:sz w:val="24"/>
          <w:szCs w:val="24"/>
        </w:rPr>
        <w:t>Arakaki, X., Arechavala, R. J., Choy, E. H., Bautista, J., Bliss, B., Molloy, C., Wu, D.-A., Shimojo, S., Jiang, Y., Kleinman, M. T., &amp; Kloner, R. A. (2023). The connection between heart rate variability (HRV), neurological health, and cognition: A literature review. Frontiers in Neuroscience, 17, Article 1055445. https://doi.org/10.3389/fnins.2023.1055445</w:t>
      </w:r>
    </w:p>
    <w:p w:rsidR="00204DAE" w:rsidRDefault="005D7A56" w14:paraId="53235D94" w14:textId="77777777">
      <w:pPr>
        <w:spacing w:after="200" w:line="480" w:lineRule="auto"/>
        <w:ind w:left="720" w:hanging="720"/>
      </w:pPr>
      <w:r>
        <w:rPr>
          <w:sz w:val="24"/>
          <w:szCs w:val="24"/>
        </w:rPr>
        <w:t>Blake, K. R., &amp; Gangestad, S. (2020). On attenuated interactions, measurement error, and statistical power: Guidelines for social and personality psychologists. Personality and Social Psychology Bulletin, 46(12), 1702–1711. https://doi.org/10.1177/0146167220913363</w:t>
      </w:r>
    </w:p>
    <w:p w:rsidR="00204DAE" w:rsidRDefault="005D7A56" w14:paraId="5576B896" w14:textId="77777777">
      <w:pPr>
        <w:spacing w:after="200" w:line="480" w:lineRule="auto"/>
        <w:ind w:left="720" w:hanging="720"/>
      </w:pPr>
      <w:r>
        <w:rPr>
          <w:sz w:val="24"/>
          <w:szCs w:val="24"/>
        </w:rPr>
        <w:t>British Psychological Society. (2021). BPS code of human research ethics. https://doi.org/10.53841/bpsrep.2021.inf180</w:t>
      </w:r>
    </w:p>
    <w:p w:rsidR="00204DAE" w:rsidRDefault="005D7A56" w14:paraId="6CD19AD0" w14:textId="77777777">
      <w:pPr>
        <w:spacing w:after="200" w:line="480" w:lineRule="auto"/>
        <w:ind w:left="720" w:hanging="720"/>
      </w:pPr>
      <w:r>
        <w:rPr>
          <w:sz w:val="24"/>
          <w:szCs w:val="24"/>
        </w:rPr>
        <w:t>Doneva, S. P., &amp; De Fockert, J. W. (2014). More conservative go/no-go response criterion under high working memory load. Journal of Cognitive Psychology, 26(1), 110–117. https://doi.org/10.1080/20445911.2013.855780</w:t>
      </w:r>
    </w:p>
    <w:p w:rsidR="00204DAE" w:rsidRDefault="005D7A56" w14:paraId="703CA6B2" w14:textId="77777777">
      <w:pPr>
        <w:spacing w:after="200" w:line="480" w:lineRule="auto"/>
        <w:ind w:left="720" w:hanging="720"/>
      </w:pPr>
      <w:r>
        <w:rPr>
          <w:sz w:val="24"/>
          <w:szCs w:val="24"/>
        </w:rPr>
        <w:t>Forte, G., &amp; Casagrande, M. (2025). The intricate brain-heart connection: The relationship between heart rate variability and cognitive functioning. Neuroscience, 565, 369–376. https://doi.org/10.1016/j.neuroscience.2024.12.004</w:t>
      </w:r>
    </w:p>
    <w:p w:rsidR="00204DAE" w:rsidRDefault="005D7A56" w14:paraId="02C49362" w14:textId="77777777">
      <w:pPr>
        <w:spacing w:after="200" w:line="480" w:lineRule="auto"/>
        <w:ind w:left="720" w:hanging="720"/>
      </w:pPr>
      <w:r>
        <w:rPr>
          <w:sz w:val="24"/>
          <w:szCs w:val="24"/>
        </w:rPr>
        <w:t>Grossman, P., &amp; Taylor, E. W. (2007). Toward understanding respiratory sinus arrhythmia: Relations to cardiac vagal tone, evolution and biobehavioral functions. Biological Psychology, 74(2), 263–285. https://doi.org/10.1016/j.biopsycho.2005.11.014</w:t>
      </w:r>
    </w:p>
    <w:p w:rsidR="00204DAE" w:rsidRDefault="005D7A56" w14:paraId="37B4272B" w14:textId="77777777">
      <w:pPr>
        <w:spacing w:after="200" w:line="480" w:lineRule="auto"/>
        <w:ind w:left="720" w:hanging="720"/>
      </w:pPr>
      <w:r>
        <w:rPr>
          <w:sz w:val="24"/>
          <w:szCs w:val="24"/>
        </w:rPr>
        <w:t>Hautus, M. J. (1995). Corrections for extreme proportions and their biasing effects on estimated values of d′. Behavior Research Methods, Instruments, &amp; Computers, 27(1), 46–51. https://doi.org/10.3758/BF03203619</w:t>
      </w:r>
    </w:p>
    <w:p w:rsidR="00204DAE" w:rsidRDefault="005D7A56" w14:paraId="27CAF36C" w14:textId="77777777">
      <w:pPr>
        <w:spacing w:after="200" w:line="480" w:lineRule="auto"/>
        <w:ind w:left="720" w:hanging="720"/>
      </w:pPr>
      <w:r>
        <w:rPr>
          <w:sz w:val="24"/>
          <w:szCs w:val="24"/>
        </w:rPr>
        <w:t>Henrich, J., Heine, S. J., &amp; Norenzayan, A. (2010). The weirdest people in the world? Behavioral and Brain Sciences, 33(2-3), 61–83. https://doi.org/10.1017/S0140525X0999152X</w:t>
      </w:r>
    </w:p>
    <w:p w:rsidR="00204DAE" w:rsidRDefault="005D7A56" w14:paraId="23BCCFA6" w14:textId="77777777">
      <w:pPr>
        <w:spacing w:after="200" w:line="480" w:lineRule="auto"/>
        <w:ind w:left="720" w:hanging="720"/>
      </w:pPr>
      <w:r>
        <w:rPr>
          <w:sz w:val="24"/>
          <w:szCs w:val="24"/>
        </w:rPr>
        <w:t>Laborde, S., Mosley, E., &amp; Thayer, J. F. (2017). Heart rate variability and cardiac vagal tone in psychophysiological research: Recommendations for experiment planning, data analysis, and data reporting. Frontiers in Psychology, 8, Article 213. https://doi.org/10.3389/fpsyg.2017.00213</w:t>
      </w:r>
    </w:p>
    <w:p w:rsidR="00204DAE" w:rsidRDefault="005D7A56" w14:paraId="42B98A7B" w14:textId="77777777">
      <w:pPr>
        <w:spacing w:after="200" w:line="480" w:lineRule="auto"/>
        <w:ind w:left="720" w:hanging="720"/>
      </w:pPr>
      <w:r>
        <w:rPr>
          <w:sz w:val="24"/>
          <w:szCs w:val="24"/>
        </w:rPr>
        <w:t>Lavie, N., Hirst, A., De Fockert, J. W., &amp; Viding, E. (2004). Load theory of selective attention and cognitive control. Journal of Experimental Psychology: General, 133(3), 339–354. https://doi.org/10.1037/0096-3445.133.3.339</w:t>
      </w:r>
    </w:p>
    <w:p w:rsidR="00204DAE" w:rsidRDefault="005D7A56" w14:paraId="340ECC51" w14:textId="77777777">
      <w:pPr>
        <w:spacing w:after="200" w:line="480" w:lineRule="auto"/>
        <w:ind w:left="720" w:hanging="720"/>
      </w:pPr>
      <w:r>
        <w:rPr>
          <w:sz w:val="24"/>
          <w:szCs w:val="24"/>
        </w:rPr>
        <w:t>Nashiro, K., Yoo, H. J., Cho, C., Min, J., Feng, T., Nasseri, P., Bachman, S. L., Lehrer, P., Thayer, J. F., &amp; Mather, M. (2023). Effects of a randomised trial of 5-week heart rate variability biofeedback intervention on cognitive function: Possible benefits for inhibitory control. Applied Psychophysiology and Biofeedback, 48(1), 35–48. https://doi.org/10.1007/s10484-022-09558-y</w:t>
      </w:r>
    </w:p>
    <w:p w:rsidR="00204DAE" w:rsidRDefault="005D7A56" w14:paraId="6A782496" w14:textId="77777777">
      <w:pPr>
        <w:spacing w:after="200" w:line="480" w:lineRule="auto"/>
        <w:ind w:left="720" w:hanging="720"/>
      </w:pPr>
      <w:r>
        <w:rPr>
          <w:sz w:val="24"/>
          <w:szCs w:val="24"/>
        </w:rPr>
        <w:t>Riganello, F., Vatrano, M., Tonin, P., Cerasa, A., &amp; Cortese, M. D. (2023). Heart rate complexity and autonomic modulation are associated with psychological response inhibition in healthy subjects. Entropy, 25(1), Article 152. https://doi.org/10.3390/e25010152</w:t>
      </w:r>
    </w:p>
    <w:p w:rsidR="00204DAE" w:rsidRDefault="005D7A56" w14:paraId="4F4C6193" w14:textId="77777777">
      <w:pPr>
        <w:spacing w:after="200" w:line="480" w:lineRule="auto"/>
        <w:ind w:left="720" w:hanging="720"/>
      </w:pPr>
      <w:r>
        <w:rPr>
          <w:sz w:val="24"/>
          <w:szCs w:val="24"/>
        </w:rPr>
        <w:t>Robertson, I. H., Manly, T., Andrade, J., Baddeley, B. T., &amp; Yiend, J. (1997). “Oops!”: Performance correlates of everyday attentional failures in traumatic brain injured and normal subjects. Neuropsychologia, 35(6), 747–758. https://doi.org/10.1016/S0028-3932(97)00015-8</w:t>
      </w:r>
    </w:p>
    <w:p w:rsidR="00204DAE" w:rsidRDefault="005D7A56" w14:paraId="1A5CBDEA" w14:textId="77777777">
      <w:pPr>
        <w:spacing w:after="200" w:line="480" w:lineRule="auto"/>
        <w:ind w:left="720" w:hanging="720"/>
      </w:pPr>
      <w:r>
        <w:rPr>
          <w:sz w:val="24"/>
          <w:szCs w:val="24"/>
        </w:rPr>
        <w:t>Thayer, J. F., &amp; Lane, R. D. (2000). A model of neurovisceral integration in emotion regulation and dysregulation. Journal of Affective Disorders, 61(3), 201–216. https://doi.org/10.1016/S0165-0327(00)00338-4</w:t>
      </w:r>
    </w:p>
    <w:p w:rsidR="00204DAE" w:rsidRDefault="005D7A56" w14:paraId="726E5D1D" w14:textId="77777777">
      <w:pPr>
        <w:spacing w:after="200" w:line="480" w:lineRule="auto"/>
        <w:ind w:left="720" w:hanging="720"/>
      </w:pPr>
      <w:r>
        <w:rPr>
          <w:sz w:val="24"/>
          <w:szCs w:val="24"/>
        </w:rPr>
        <w:t>Thayer, J. F., &amp; Lane, R. D. (2009). Claude Bernard and the heart-brain connection: Further elaboration of a model of neurovisceral integration. Neuroscience &amp; Biobehavioral Reviews, 33(2), 81–88. https://doi.org/10.1016/j.neubiorev.2008.08.004</w:t>
      </w:r>
    </w:p>
    <w:p w:rsidR="00204DAE" w:rsidRDefault="005D7A56" w14:paraId="65C3CA8D" w14:textId="77777777">
      <w:pPr>
        <w:pStyle w:val="Heading1"/>
        <w:pageBreakBefore/>
        <w:spacing w:before="360" w:after="200"/>
      </w:pPr>
      <w:r>
        <w:rPr>
          <w:b/>
          <w:bCs/>
          <w:color w:val="000000"/>
          <w:sz w:val="28"/>
          <w:szCs w:val="28"/>
        </w:rPr>
        <w:t>Appendix A</w:t>
      </w:r>
    </w:p>
    <w:p w:rsidR="00204DAE" w:rsidRDefault="005D7A56" w14:paraId="5CC3C197" w14:textId="77777777">
      <w:pPr>
        <w:spacing w:after="200"/>
        <w:jc w:val="center"/>
      </w:pPr>
      <w:r>
        <w:rPr>
          <w:b/>
          <w:bCs/>
          <w:sz w:val="24"/>
          <w:szCs w:val="24"/>
        </w:rPr>
        <w:t>Participant Information Sheet</w:t>
      </w:r>
    </w:p>
    <w:p w:rsidR="00204DAE" w:rsidRDefault="005D7A56" w14:paraId="6B37616F" w14:textId="77777777">
      <w:pPr>
        <w:spacing w:after="200" w:line="480" w:lineRule="auto"/>
      </w:pPr>
      <w:r>
        <w:rPr>
          <w:sz w:val="24"/>
          <w:szCs w:val="24"/>
        </w:rPr>
        <w:t>Study title: Resting Heart Rate Variability and Inhibitory Control Under Cognitive Load</w:t>
      </w:r>
    </w:p>
    <w:p w:rsidR="00204DAE" w:rsidRDefault="005D7A56" w14:paraId="54B21E5E" w14:textId="77777777">
      <w:pPr>
        <w:pStyle w:val="Heading3"/>
        <w:spacing w:before="240" w:after="140"/>
      </w:pPr>
      <w:r>
        <w:rPr>
          <w:b/>
          <w:bCs/>
          <w:i/>
          <w:iCs/>
          <w:color w:val="000000"/>
        </w:rPr>
        <w:t>What is the purpose of the study?</w:t>
      </w:r>
    </w:p>
    <w:p w:rsidR="00204DAE" w:rsidRDefault="005D7A56" w14:paraId="3151BB43" w14:textId="77777777">
      <w:pPr>
        <w:spacing w:after="200" w:line="480" w:lineRule="auto"/>
        <w:jc w:val="both"/>
      </w:pPr>
      <w:r>
        <w:rPr>
          <w:sz w:val="24"/>
          <w:szCs w:val="24"/>
        </w:rPr>
        <w:t>This research looks at whether heart rate variability relates to how well people control their attention and responses, and whether that relationship changes once a task becomes more mentally demanding.</w:t>
      </w:r>
    </w:p>
    <w:p w:rsidR="00204DAE" w:rsidRDefault="005D7A56" w14:paraId="5B9EAADA" w14:textId="77777777">
      <w:pPr>
        <w:pStyle w:val="Heading3"/>
        <w:spacing w:before="240" w:after="140"/>
      </w:pPr>
      <w:r>
        <w:rPr>
          <w:b/>
          <w:bCs/>
          <w:i/>
          <w:iCs/>
          <w:color w:val="000000"/>
        </w:rPr>
        <w:t>What will I be asked to do?</w:t>
      </w:r>
    </w:p>
    <w:p w:rsidR="00204DAE" w:rsidRDefault="005D7A56" w14:paraId="0A6FCE39" w14:textId="77777777">
      <w:pPr>
        <w:spacing w:after="200" w:line="480" w:lineRule="auto"/>
        <w:jc w:val="both"/>
      </w:pPr>
      <w:r>
        <w:rPr>
          <w:sz w:val="24"/>
          <w:szCs w:val="24"/>
        </w:rPr>
        <w:t>You will complete a short demographic and screening questionnaire, then sit quietly for around ten minutes: a five-minute acclimatisation period followed by a five-minute ECG recording of your heart rhythm. After that, you will complete two versions of a computer-based attention task alongside a short memory task. The whole session should take about 40–45 minutes.</w:t>
      </w:r>
    </w:p>
    <w:p w:rsidR="00204DAE" w:rsidRDefault="005D7A56" w14:paraId="15B50B91" w14:textId="77777777">
      <w:pPr>
        <w:pStyle w:val="Heading3"/>
        <w:spacing w:before="240" w:after="140"/>
      </w:pPr>
      <w:r>
        <w:rPr>
          <w:b/>
          <w:bCs/>
          <w:i/>
          <w:iCs/>
          <w:color w:val="000000"/>
        </w:rPr>
        <w:t>Are there any risks or discomforts?</w:t>
      </w:r>
    </w:p>
    <w:p w:rsidR="00204DAE" w:rsidRDefault="005D7A56" w14:paraId="0D28A147" w14:textId="77777777">
      <w:pPr>
        <w:spacing w:after="200" w:line="480" w:lineRule="auto"/>
        <w:jc w:val="both"/>
      </w:pPr>
      <w:r>
        <w:rPr>
          <w:sz w:val="24"/>
          <w:szCs w:val="24"/>
        </w:rPr>
        <w:t>No significant risks are expected. You might feel mild fatigue from the computer tasks or brief discomfort from the ECG electrodes, and you can ask for a break or stop at any point.</w:t>
      </w:r>
    </w:p>
    <w:p w:rsidR="00204DAE" w:rsidRDefault="005D7A56" w14:paraId="6DD5FAC8" w14:textId="77777777">
      <w:pPr>
        <w:pStyle w:val="Heading3"/>
        <w:spacing w:before="240" w:after="140"/>
      </w:pPr>
      <w:r>
        <w:rPr>
          <w:b/>
          <w:bCs/>
          <w:i/>
          <w:iCs/>
          <w:color w:val="000000"/>
        </w:rPr>
        <w:t>Do I have to take part?</w:t>
      </w:r>
    </w:p>
    <w:p w:rsidR="00204DAE" w:rsidRDefault="005D7A56" w14:paraId="6440A0D8" w14:textId="77777777">
      <w:pPr>
        <w:spacing w:after="200" w:line="480" w:lineRule="auto"/>
        <w:jc w:val="both"/>
      </w:pPr>
      <w:r>
        <w:rPr>
          <w:sz w:val="24"/>
          <w:szCs w:val="24"/>
        </w:rPr>
        <w:t>No. Taking part is entirely voluntary. You can stop at any time without giving a reason and without penalty, and you can also ask for your data to be withdrawn while it remains linked to your participant code. Once the linking information has been destroyed and the dataset anonymised, your individual data can no longer be identified and removed.</w:t>
      </w:r>
    </w:p>
    <w:p w:rsidR="00204DAE" w:rsidRDefault="005D7A56" w14:paraId="76E93AFB" w14:textId="77777777">
      <w:pPr>
        <w:pStyle w:val="Heading3"/>
        <w:spacing w:before="240" w:after="140"/>
      </w:pPr>
      <w:r>
        <w:rPr>
          <w:b/>
          <w:bCs/>
          <w:i/>
          <w:iCs/>
          <w:color w:val="000000"/>
        </w:rPr>
        <w:t>Will my information be confidential?</w:t>
      </w:r>
    </w:p>
    <w:p w:rsidR="00204DAE" w:rsidRDefault="005D7A56" w14:paraId="0C4B2CAD" w14:textId="77777777">
      <w:pPr>
        <w:spacing w:after="200" w:line="480" w:lineRule="auto"/>
        <w:jc w:val="both"/>
      </w:pPr>
      <w:r>
        <w:rPr>
          <w:sz w:val="24"/>
          <w:szCs w:val="24"/>
        </w:rPr>
        <w:t>Yes. Your data will be pseudonymised using a participant identification number, and anything that could identify you will be stored separately and securely on encrypted, password-protected university systems. Only authorised members of the research team will have access.</w:t>
      </w:r>
    </w:p>
    <w:p w:rsidR="00204DAE" w:rsidRDefault="005D7A56" w14:paraId="587B85AB" w14:textId="77777777">
      <w:pPr>
        <w:pStyle w:val="Heading3"/>
        <w:spacing w:before="240" w:after="140"/>
      </w:pPr>
      <w:r>
        <w:rPr>
          <w:b/>
          <w:bCs/>
          <w:i/>
          <w:iCs/>
          <w:color w:val="000000"/>
        </w:rPr>
        <w:t>Who can I contact for further information?</w:t>
      </w:r>
    </w:p>
    <w:p w:rsidR="00204DAE" w:rsidRDefault="005D7A56" w14:paraId="1A7CD1A1" w14:textId="77777777">
      <w:pPr>
        <w:spacing w:after="200" w:line="480" w:lineRule="auto"/>
      </w:pPr>
      <w:r>
        <w:rPr>
          <w:sz w:val="24"/>
          <w:szCs w:val="24"/>
        </w:rPr>
        <w:t>Researcher: Viveyan Binyam</w:t>
      </w:r>
    </w:p>
    <w:p w:rsidR="00204DAE" w:rsidRDefault="005D7A56" w14:paraId="79E32B72" w14:textId="7232C063">
      <w:pPr>
        <w:spacing w:after="200" w:line="480" w:lineRule="auto"/>
      </w:pPr>
      <w:r w:rsidRPr="4BBA356C" w:rsidR="005D7A56">
        <w:rPr>
          <w:sz w:val="24"/>
          <w:szCs w:val="24"/>
        </w:rPr>
        <w:t xml:space="preserve">University email: </w:t>
      </w:r>
      <w:r w:rsidRPr="4BBA356C" w:rsidR="52EC9BD9">
        <w:rPr>
          <w:sz w:val="24"/>
          <w:szCs w:val="24"/>
        </w:rPr>
        <w:t>vb25558@essex.ac.uk</w:t>
      </w:r>
    </w:p>
    <w:p w:rsidR="00204DAE" w:rsidRDefault="005D7A56" w14:paraId="3B54D4F4" w14:textId="0BFFEE2E">
      <w:pPr>
        <w:spacing w:after="200" w:line="480" w:lineRule="auto"/>
      </w:pPr>
      <w:r w:rsidRPr="4BBA356C" w:rsidR="005D7A56">
        <w:rPr>
          <w:sz w:val="24"/>
          <w:szCs w:val="24"/>
        </w:rPr>
        <w:t xml:space="preserve">Supervisor/tutor: </w:t>
      </w:r>
      <w:r w:rsidRPr="4BBA356C" w:rsidR="11D740A1">
        <w:rPr>
          <w:sz w:val="24"/>
          <w:szCs w:val="24"/>
        </w:rPr>
        <w:t>Dr Mark Ashton-Smith</w:t>
      </w:r>
    </w:p>
    <w:p w:rsidR="00204DAE" w:rsidP="4BBA356C" w:rsidRDefault="005D7A56" w14:paraId="5DB7DFC0" w14:textId="72C068B3">
      <w:pPr>
        <w:spacing w:after="200" w:line="480" w:lineRule="auto"/>
        <w:rPr>
          <w:sz w:val="24"/>
          <w:szCs w:val="24"/>
        </w:rPr>
      </w:pPr>
    </w:p>
    <w:p w:rsidR="00204DAE" w:rsidRDefault="005D7A56" w14:paraId="67DE0155" w14:textId="77777777">
      <w:pPr>
        <w:pStyle w:val="Heading1"/>
        <w:pageBreakBefore/>
        <w:spacing w:before="360" w:after="200"/>
      </w:pPr>
      <w:r>
        <w:rPr>
          <w:b/>
          <w:bCs/>
          <w:color w:val="000000"/>
          <w:sz w:val="28"/>
          <w:szCs w:val="28"/>
        </w:rPr>
        <w:t>Appendix B</w:t>
      </w:r>
    </w:p>
    <w:p w:rsidR="00204DAE" w:rsidRDefault="005D7A56" w14:paraId="059FC74D" w14:textId="77777777">
      <w:pPr>
        <w:spacing w:after="200"/>
        <w:jc w:val="center"/>
      </w:pPr>
      <w:r>
        <w:rPr>
          <w:b/>
          <w:bCs/>
          <w:sz w:val="24"/>
          <w:szCs w:val="24"/>
        </w:rPr>
        <w:t>Consent Form</w:t>
      </w:r>
    </w:p>
    <w:p w:rsidR="00204DAE" w:rsidRDefault="005D7A56" w14:paraId="13505319" w14:textId="77777777">
      <w:pPr>
        <w:spacing w:after="200" w:line="480" w:lineRule="auto"/>
      </w:pPr>
      <w:r>
        <w:rPr>
          <w:sz w:val="24"/>
          <w:szCs w:val="24"/>
        </w:rPr>
        <w:t>Study title: Resting Heart Rate Variability and Inhibitory Control Under Cognitive Load</w:t>
      </w:r>
    </w:p>
    <w:p w:rsidR="00204DAE" w:rsidRDefault="005D7A56" w14:paraId="69807B34" w14:textId="77777777">
      <w:pPr>
        <w:spacing w:after="200" w:line="480" w:lineRule="auto"/>
      </w:pPr>
      <w:r>
        <w:rPr>
          <w:sz w:val="24"/>
          <w:szCs w:val="24"/>
        </w:rPr>
        <w:t>Please initial each statement:</w:t>
      </w:r>
    </w:p>
    <w:p w:rsidR="00204DAE" w:rsidRDefault="005D7A56" w14:paraId="49721BD1" w14:textId="77777777">
      <w:pPr>
        <w:spacing w:after="160" w:line="360" w:lineRule="auto"/>
      </w:pPr>
      <w:r>
        <w:rPr>
          <w:sz w:val="24"/>
          <w:szCs w:val="24"/>
        </w:rPr>
        <w:t>☐ I confirm that I have read and understood the Participant Information Sheet for this study.</w:t>
      </w:r>
    </w:p>
    <w:p w:rsidR="00204DAE" w:rsidRDefault="005D7A56" w14:paraId="070828C8" w14:textId="77777777">
      <w:pPr>
        <w:spacing w:after="160" w:line="360" w:lineRule="auto"/>
      </w:pPr>
      <w:r>
        <w:rPr>
          <w:sz w:val="24"/>
          <w:szCs w:val="24"/>
        </w:rPr>
        <w:t>☐ I have had the opportunity to ask questions about the study and understand what taking part involves.</w:t>
      </w:r>
    </w:p>
    <w:p w:rsidR="00204DAE" w:rsidRDefault="005D7A56" w14:paraId="697F68DD" w14:textId="77777777">
      <w:pPr>
        <w:spacing w:after="160" w:line="360" w:lineRule="auto"/>
      </w:pPr>
      <w:r>
        <w:rPr>
          <w:sz w:val="24"/>
          <w:szCs w:val="24"/>
        </w:rPr>
        <w:t>☐ I understand that taking part is voluntary and that I can stop at any time without giving a reason or facing any disadvantage.</w:t>
      </w:r>
    </w:p>
    <w:p w:rsidR="00204DAE" w:rsidRDefault="005D7A56" w14:paraId="55AAB613" w14:textId="77777777">
      <w:pPr>
        <w:spacing w:after="160" w:line="360" w:lineRule="auto"/>
      </w:pPr>
      <w:r>
        <w:rPr>
          <w:sz w:val="24"/>
          <w:szCs w:val="24"/>
        </w:rPr>
        <w:t>☐ I understand the point up to which I can ask for my research data to be withdrawn.</w:t>
      </w:r>
    </w:p>
    <w:p w:rsidR="00204DAE" w:rsidRDefault="005D7A56" w14:paraId="0C334B9E" w14:textId="77777777">
      <w:pPr>
        <w:spacing w:after="160" w:line="360" w:lineRule="auto"/>
      </w:pPr>
      <w:r>
        <w:rPr>
          <w:sz w:val="24"/>
          <w:szCs w:val="24"/>
        </w:rPr>
        <w:t>☐ I understand that my research data will initially be pseudonymised and stored securely.</w:t>
      </w:r>
    </w:p>
    <w:p w:rsidR="00204DAE" w:rsidRDefault="005D7A56" w14:paraId="690A2D03" w14:textId="77777777">
      <w:pPr>
        <w:spacing w:after="160" w:line="360" w:lineRule="auto"/>
      </w:pPr>
      <w:r>
        <w:rPr>
          <w:sz w:val="24"/>
          <w:szCs w:val="24"/>
        </w:rPr>
        <w:t>☐ I understand that anonymised data may be kept and used for the purposes described in the Participant Information Sheet.</w:t>
      </w:r>
    </w:p>
    <w:p w:rsidR="00204DAE" w:rsidRDefault="005D7A56" w14:paraId="08016B09" w14:textId="77777777">
      <w:pPr>
        <w:spacing w:after="160" w:line="360" w:lineRule="auto"/>
      </w:pPr>
      <w:r>
        <w:rPr>
          <w:sz w:val="24"/>
          <w:szCs w:val="24"/>
        </w:rPr>
        <w:t>☐ I agree to take part in this study.</w:t>
      </w:r>
    </w:p>
    <w:p w:rsidR="00204DAE" w:rsidRDefault="005D7A56" w14:paraId="3FD703F4" w14:textId="77777777">
      <w:pPr>
        <w:spacing w:after="200" w:line="480" w:lineRule="auto"/>
      </w:pPr>
      <w:r>
        <w:rPr>
          <w:sz w:val="24"/>
          <w:szCs w:val="24"/>
        </w:rPr>
        <w:t>Name: _______________________________</w:t>
      </w:r>
    </w:p>
    <w:p w:rsidR="00204DAE" w:rsidRDefault="005D7A56" w14:paraId="128CA685" w14:textId="77777777">
      <w:pPr>
        <w:spacing w:after="200" w:line="480" w:lineRule="auto"/>
      </w:pPr>
      <w:r>
        <w:rPr>
          <w:sz w:val="24"/>
          <w:szCs w:val="24"/>
        </w:rPr>
        <w:t>Signature: ____________________________</w:t>
      </w:r>
    </w:p>
    <w:p w:rsidR="00204DAE" w:rsidRDefault="005D7A56" w14:paraId="7E6934FE" w14:textId="77777777">
      <w:pPr>
        <w:spacing w:after="200" w:line="480" w:lineRule="auto"/>
      </w:pPr>
      <w:r>
        <w:rPr>
          <w:sz w:val="24"/>
          <w:szCs w:val="24"/>
        </w:rPr>
        <w:t>Date: _________________________________</w:t>
      </w:r>
    </w:p>
    <w:sectPr w:rsidR="00204DAE">
      <w:headerReference w:type="default" r:id="rId7"/>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7A56" w:rsidRDefault="005D7A56" w14:paraId="75408CEF" w14:textId="77777777">
      <w:r>
        <w:separator/>
      </w:r>
    </w:p>
  </w:endnote>
  <w:endnote w:type="continuationSeparator" w:id="0">
    <w:p w:rsidR="005D7A56" w:rsidRDefault="005D7A56" w14:paraId="6480C6C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7A56" w:rsidRDefault="005D7A56" w14:paraId="0541227D" w14:textId="77777777">
      <w:r>
        <w:separator/>
      </w:r>
    </w:p>
  </w:footnote>
  <w:footnote w:type="continuationSeparator" w:id="0">
    <w:p w:rsidR="005D7A56" w:rsidRDefault="005D7A56" w14:paraId="31571E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4DAE" w:rsidRDefault="005D7A56" w14:paraId="133EDD17" w14:textId="77777777">
    <w:pPr>
      <w:jc w:val="right"/>
    </w:pPr>
    <w:r>
      <w:rPr>
        <w:sz w:val="24"/>
        <w:szCs w:val="24"/>
      </w:rPr>
      <w:fldChar w:fldCharType="begin"/>
    </w:r>
    <w:r>
      <w:rPr>
        <w:sz w:val="24"/>
        <w:szCs w:val="24"/>
      </w:rPr>
      <w:instrText>PAGE</w:instrText>
    </w:r>
    <w:r>
      <w:rPr>
        <w:sz w:val="24"/>
        <w:szCs w:val="24"/>
      </w:rPr>
      <w:fldChar w:fldCharType="separate"/>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079DA"/>
    <w:multiLevelType w:val="hybridMultilevel"/>
    <w:tmpl w:val="FFFFFFFF"/>
    <w:lvl w:ilvl="0" w:tplc="E2FEE0B0">
      <w:start w:val="1"/>
      <w:numFmt w:val="bullet"/>
      <w:lvlText w:val="●"/>
      <w:lvlJc w:val="left"/>
      <w:pPr>
        <w:ind w:left="720" w:hanging="360"/>
      </w:pPr>
    </w:lvl>
    <w:lvl w:ilvl="1" w:tplc="4118C628">
      <w:start w:val="1"/>
      <w:numFmt w:val="bullet"/>
      <w:lvlText w:val="○"/>
      <w:lvlJc w:val="left"/>
      <w:pPr>
        <w:ind w:left="1440" w:hanging="360"/>
      </w:pPr>
    </w:lvl>
    <w:lvl w:ilvl="2" w:tplc="91669A68">
      <w:start w:val="1"/>
      <w:numFmt w:val="bullet"/>
      <w:lvlText w:val="■"/>
      <w:lvlJc w:val="left"/>
      <w:pPr>
        <w:ind w:left="2160" w:hanging="360"/>
      </w:pPr>
    </w:lvl>
    <w:lvl w:ilvl="3" w:tplc="3854406C">
      <w:start w:val="1"/>
      <w:numFmt w:val="bullet"/>
      <w:lvlText w:val="●"/>
      <w:lvlJc w:val="left"/>
      <w:pPr>
        <w:ind w:left="2880" w:hanging="360"/>
      </w:pPr>
    </w:lvl>
    <w:lvl w:ilvl="4" w:tplc="E598BC3C">
      <w:start w:val="1"/>
      <w:numFmt w:val="bullet"/>
      <w:lvlText w:val="○"/>
      <w:lvlJc w:val="left"/>
      <w:pPr>
        <w:ind w:left="3600" w:hanging="360"/>
      </w:pPr>
    </w:lvl>
    <w:lvl w:ilvl="5" w:tplc="DE8E729C">
      <w:start w:val="1"/>
      <w:numFmt w:val="bullet"/>
      <w:lvlText w:val="■"/>
      <w:lvlJc w:val="left"/>
      <w:pPr>
        <w:ind w:left="4320" w:hanging="360"/>
      </w:pPr>
    </w:lvl>
    <w:lvl w:ilvl="6" w:tplc="6E56371E">
      <w:start w:val="1"/>
      <w:numFmt w:val="bullet"/>
      <w:lvlText w:val="●"/>
      <w:lvlJc w:val="left"/>
      <w:pPr>
        <w:ind w:left="5040" w:hanging="360"/>
      </w:pPr>
    </w:lvl>
    <w:lvl w:ilvl="7" w:tplc="F1F4B0B8">
      <w:start w:val="1"/>
      <w:numFmt w:val="bullet"/>
      <w:lvlText w:val="●"/>
      <w:lvlJc w:val="left"/>
      <w:pPr>
        <w:ind w:left="5760" w:hanging="360"/>
      </w:pPr>
    </w:lvl>
    <w:lvl w:ilvl="8" w:tplc="FF6C94E2">
      <w:start w:val="1"/>
      <w:numFmt w:val="bullet"/>
      <w:lvlText w:val="●"/>
      <w:lvlJc w:val="left"/>
      <w:pPr>
        <w:ind w:left="6480" w:hanging="360"/>
      </w:pPr>
    </w:lvl>
  </w:abstractNum>
  <w:num w:numId="1" w16cid:durableId="7294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DAE"/>
    <w:rsid w:val="00204DAE"/>
    <w:rsid w:val="005D7A56"/>
    <w:rsid w:val="006D2C2B"/>
    <w:rsid w:val="11D740A1"/>
    <w:rsid w:val="17293555"/>
    <w:rsid w:val="27BA095A"/>
    <w:rsid w:val="3A345ED7"/>
    <w:rsid w:val="4A2A9F4A"/>
    <w:rsid w:val="4BBA356C"/>
    <w:rsid w:val="52EC9BD9"/>
    <w:rsid w:val="656D0D11"/>
    <w:rsid w:val="662D889E"/>
    <w:rsid w:val="7E4B15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7E6910F"/>
  <w15:docId w15:val="{58A757BA-7D36-47C2-A1A1-DFE8B74D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customXml" Target="ink/ink.xml" Id="rId1643172321"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14T18:00:37.390"/>
    </inkml:context>
    <inkml:brush xml:id="br0">
      <inkml:brushProperty name="width" value="0.1" units="cm"/>
      <inkml:brushProperty name="height" value="0.1" units="cm"/>
    </inkml:brush>
  </inkml:definitions>
  <inkml:trace contextRef="#ctx0" brushRef="#br0">485 188 16383 0 0,'0'-2'0'0'0,"0"-6"0"0"0,2-10 0 0 0,3-8 0 0 0,4-4 0 0 0,-2 0 0 0 0,2 3 0 0 0,1 7 0 0 0,1 11 0 0 0,-1 13 0 0 0,0 20 0 0 0,-2 23 0 0 0,-3 19 0 0 0,-1 14 0 0 0,-2 7 0 0 0,-1 1 0 0 0,-1-4 0 0 0,0-14 0 0 0,-1-13 0 0 0,1-14 0 0 0,2-19 0 0 0,3-23 0 0 0,5-24 0 0 0,5-26 0 0 0,2-14 0 0 0,4-7 0 0 0,1-7 0 0 0,0-2 0 0 0,1 6 0 0 0,0 9 0 0 0,-1 11 0 0 0,0 10 0 0 0,-2 10 0 0 0,-1 8 0 0 0,-3 7 0 0 0,-3 3 0 0 0,-4 8 0 0 0,-4 6 0 0 0,-5 8 0 0 0,-2 10 0 0 0,-3 8 0 0 0,-3 16 0 0 0,0 13 0 0 0,1 10 0 0 0,2 6 0 0 0,2 1 0 0 0,1-6 0 0 0,1-6 0 0 0,1-12 0 0 0,0-18 0 0 0,0-23 0 0 0,1-25 0 0 0,1-23 0 0 0,6-18 0 0 0,5-10 0 0 0,6-1 0 0 0,2 4 0 0 0,4 9 0 0 0,2 11 0 0 0,0 10 0 0 0,-3 12 0 0 0,0 10 0 0 0,-2 7 0 0 0,-2 6 0 0 0,-4 3 0 0 0,-1 1 0 0 0,-3 4 0 0 0,-4 7 0 0 0,-6 4 0 0 0,-5 7 0 0 0,-8 6 0 0 0,-8 4 0 0 0,-6 0 0 0 0,-2 0 0 0 0,2-4 0 0 0,7-7 0 0 0,11-8 0 0 0,16-8 0 0 0,19-10 0 0 0,17-7 0 0 0,11-3 0 0 0,9-1 0 0 0,3 3 0 0 0,-6 4 0 0 0,-9 4 0 0 0,-11 6 0 0 0,-13 3 0 0 0,-14 9 0 0 0,-22 10 0 0 0,-37 14 0 0 0,-50 16 0 0 0,-48 7 0 0 0,-41-2 0 0 0,-25-9 0 0 0,1-16 0 0 0,20-17 0 0 0,33-18 0 0 0,40-14 0 0 0,40-10 0 0 0,43-9 0 0 0,52-8 0 0 0,59-11 0 0 0,68-5 0 0 0,56-1 0 0 0,34 6 0 0 0,6 10 0 0 0,-21 13 0 0 0,-38 10 0 0 0,-49 9 0 0 0,-52 7 0 0 0,-55 2 0 0 0,-55 3 0 0 0,-46 7 0 0 0,-39 9 0 0 0,-21 7 0 0 0,-7 10 0 0 0,9 4 0 0 0,19 3 0 0 0,20 0 0 0 0,25-1 0 0 0,22-7 0 0 0,20-6 0 0 0,15-9 0 0 0,17-4 0 0 0,17-6 0 0 0,21-3 0 0 0,15-6 0 0 0,10-5 0 0 0,1 0 0 0 0,-9-2 0 0 0,-12 2 0 0 0,-17 2 0 0 0,-20 3 0 0 0,-28 9 0 0 0,-25 8 0 0 0,-20 9 0 0 0,-11 7 0 0 0,0-1 0 0 0,12-5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Binyam, Viveyan</lastModifiedBy>
  <revision>2</revision>
  <dcterms:created xsi:type="dcterms:W3CDTF">2026-09-14T17:32:00.0000000Z</dcterms:created>
  <dcterms:modified xsi:type="dcterms:W3CDTF">2026-09-14T18:00:51.7868705Z</dcterms:modified>
</coreProperties>
</file>